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46ca607604345" /></Relationships>
</file>

<file path=word/document.xml><?xml version="1.0" encoding="utf-8"?>
<w:document xmlns:w="http://schemas.openxmlformats.org/wordprocessingml/2006/main">
  <w:body>
    <w:p>
      <w:r>
        <w:t>H-2415.2</w:t>
      </w:r>
    </w:p>
    <w:p>
      <w:pPr>
        <w:jc w:val="center"/>
      </w:pPr>
      <w:r>
        <w:t>_______________________________________________</w:t>
      </w:r>
    </w:p>
    <w:p/>
    <w:p>
      <w:pPr>
        <w:jc w:val="center"/>
      </w:pPr>
      <w:r>
        <w:rPr>
          <w:b/>
        </w:rPr>
        <w:t>HOUSE BILL 2211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Ryu, McBride, Cody, Robinson, and Gregerson</w:t>
      </w:r>
    </w:p>
    <w:p/>
    <w:p>
      <w:r>
        <w:rPr>
          <w:t xml:space="preserve">Read first time 03/25/15.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e-cigarette, and nicotine products tax and regulatory reform to support youth substance prevention; amending RCW 66.08.145, 66.44.010, 82.24.510, 82.24.550, 82.26.060, 82.26.080, 82.26.150, 82.26.220, 82.32.300, and 43.06.450; adding new sections to chapter 43.06 RCW; adding a new section to chapter 82.08 RCW; adding a new section to chapter 82.12 RCW; adding a new chapter to Title 82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Specifically, the legislature finds:</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 </w:t>
      </w:r>
    </w:p>
    <w:p>
      <w:pPr>
        <w:spacing w:before="0" w:after="0" w:line="408" w:lineRule="exact"/>
        <w:ind w:left="0" w:right="0" w:firstLine="576"/>
        <w:jc w:val="left"/>
      </w:pPr>
      <w:r>
        <w:rPr/>
        <w:t xml:space="preserve">(b) Vapor products are widely available online and in retail stores. The sale of vapor products has rapidly increased over the past several years, and by 2017, their sales margins are predicted to surpass cigarettes. Nationally, the percentage of middle school and high school students who have used vapor products more than doubled from 2011 to 2012. By 2014, seventeen percent of twelfth graders had tried e</w:t>
      </w:r>
      <w:r>
        <w:rPr/>
        <w:noBreakHyphen/>
      </w:r>
      <w:r>
        <w:rPr/>
        <w:t xml:space="preserve">cigarettes. In Washington, the 2014 healthy youth survey found that almost twenty-three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(c) The low cost of e-cigarettes and nicotine liquids for vapor products, particularly compared to cigarettes, is a key factor in youth access and use. Legislative testimony has indicated that refillable nicotine liquid and disposable e-cigarettes are as low as ten and twenty percent of the cost of a pack of cigarettes in Washington.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w:t>
      </w:r>
    </w:p>
    <w:p>
      <w:pPr>
        <w:spacing w:before="0" w:after="0" w:line="408" w:lineRule="exact"/>
        <w:ind w:left="0" w:right="0" w:firstLine="576"/>
        <w:jc w:val="left"/>
      </w:pPr>
      <w:r>
        <w:rPr/>
        <w:t xml:space="preserve">(d) Public health infrastructure and enforcement to prevent youth access to tobacco and vapor products in Washington will benefit from the investment of tax revenues and fees established or increased by this act.</w:t>
      </w:r>
    </w:p>
    <w:p>
      <w:pPr>
        <w:spacing w:before="0" w:after="0" w:line="408" w:lineRule="exact"/>
        <w:ind w:left="0" w:right="0" w:firstLine="576"/>
        <w:jc w:val="left"/>
      </w:pPr>
      <w:r>
        <w:rPr/>
        <w:t xml:space="preserve">(2) The legislature finds, therefore, that this act is necessary to protect the public health, safety, and welfare by providing consumers with information about products that are potentially dangerous, reducing youth access to addictive nicotine products, and preventing nicotine poisonings of children.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control board.</w:t>
      </w:r>
    </w:p>
    <w:p>
      <w:pPr>
        <w:spacing w:before="0" w:after="0" w:line="408" w:lineRule="exact"/>
        <w:ind w:left="0" w:right="0" w:firstLine="576"/>
        <w:jc w:val="left"/>
      </w:pPr>
      <w:r>
        <w:rPr/>
        <w:t xml:space="preserve">(4)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"Distributor" means: (a) Any person engaged in the business of selling vapor products in this state who brings, or causes to be brought, into this state from without the state any vapor products for sale; (b) any person who makes, manufactures, fabricates, or stores vapor products in this state for sale in this state; (c) any person engaged in the business of selling vapor products without this state who ships or transports vapor products to retailers in this state, to be sold by those retailers; and (d) any person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(7) "Indian country" means the same as defined in chapter 82.24 RCW.</w:t>
      </w:r>
    </w:p>
    <w:p>
      <w:pPr>
        <w:spacing w:before="0" w:after="0" w:line="408" w:lineRule="exact"/>
        <w:ind w:left="0" w:right="0" w:firstLine="576"/>
        <w:jc w:val="left"/>
      </w:pPr>
      <w:r>
        <w:rPr/>
        <w:t xml:space="preserve">(8) "Manufacturer" means a person who manufactures and sells vapor products.</w:t>
      </w:r>
    </w:p>
    <w:p>
      <w:pPr>
        <w:spacing w:before="0" w:after="0" w:line="408" w:lineRule="exact"/>
        <w:ind w:left="0" w:right="0" w:firstLine="576"/>
        <w:jc w:val="left"/>
      </w:pPr>
      <w:r>
        <w:rPr/>
        <w:t xml:space="preserve">(9)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subsection (14)(b) of this section,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(10)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 However, in the absence of such comparable sales, true value means the value of the vapor product as determined by all of the taxpayer's direct and indirect costs attributable to the vapor product.</w:t>
      </w:r>
    </w:p>
    <w:p>
      <w:pPr>
        <w:spacing w:before="0" w:after="0" w:line="408" w:lineRule="exact"/>
        <w:ind w:left="0" w:right="0" w:firstLine="576"/>
        <w:jc w:val="left"/>
      </w:pPr>
      <w:r>
        <w:rPr/>
        <w:t xml:space="preserve">(16) "Taxpayer" means a person liable for the tax imposed by this chapter.</w:t>
      </w:r>
    </w:p>
    <w:p>
      <w:pPr>
        <w:spacing w:before="0" w:after="0" w:line="408" w:lineRule="exact"/>
        <w:ind w:left="0" w:right="0" w:firstLine="576"/>
        <w:jc w:val="left"/>
      </w:pPr>
      <w:r>
        <w:rPr/>
        <w:t xml:space="preserve">(17)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(18)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(19)(a) "Vapor product" means any noncombustible product that employs a mechanical heating element, battery, or electronic circuit regardless of shape or size that can be used to produce vapor from a liquid solution or other substance, including an electronic cigarette, electronic cigar, electronic cigarillo, electronic pipe, or similar product or device. "Vapor product" includes: (i) Any liquid solution or other substance in a cartridge or other container that is capable of being used with or in a vapor product to produce vapor; and (ii) any related accessories or equipment specifically designed or marketed to be used with a vapor product.</w:t>
      </w:r>
    </w:p>
    <w:p>
      <w:pPr>
        <w:spacing w:before="0" w:after="0" w:line="408" w:lineRule="exact"/>
        <w:ind w:left="0" w:right="0" w:firstLine="576"/>
        <w:jc w:val="left"/>
      </w:pPr>
      <w:r>
        <w:rPr/>
        <w:t xml:space="preserve">(b) "Vapor product" does not include: (i) Any drug, device, or combination product approved for sale by the United States food and drug administration that is marketed and sold for such approved purpose; or (ii) any product meeting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w:t>
      </w:r>
    </w:p>
    <w:p>
      <w:pPr>
        <w:spacing w:before="0" w:after="0" w:line="408" w:lineRule="exact"/>
        <w:ind w:left="0" w:right="0" w:firstLine="576"/>
        <w:jc w:val="left"/>
      </w:pPr>
      <w:r>
        <w:rPr/>
        <w:t xml:space="preserve">(i) "Cigarette" has the same meaning as in RCW 82.24.010.</w:t>
      </w:r>
    </w:p>
    <w:p>
      <w:pPr>
        <w:spacing w:before="0" w:after="0" w:line="408" w:lineRule="exact"/>
        <w:ind w:left="0" w:right="0" w:firstLine="576"/>
        <w:jc w:val="left"/>
      </w:pPr>
      <w:r>
        <w:rPr/>
        <w:t xml:space="preserve">(ii) "Marijuana," "useable marijuana," "marijuana concentrates," and "marijuana-infused products" have the same meaning as in RCW 69.50.101.</w:t>
      </w:r>
    </w:p>
    <w:p>
      <w:pPr>
        <w:spacing w:before="0" w:after="0" w:line="408" w:lineRule="exact"/>
        <w:ind w:left="0" w:right="0" w:firstLine="576"/>
        <w:jc w:val="left"/>
      </w:pPr>
      <w:r>
        <w:rPr/>
        <w:t xml:space="preserve">(iii) "Tobacco products" has the same meaning as in RCW 82.26.010.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equal to sixty percent of the taxable sales price. If the vapor product is sold together with products not taxable under this chapter for one price, the tax imposed by this section applies to the entire selling price of the product, except as provided in (b) of this subsection.</w:t>
      </w:r>
    </w:p>
    <w:p>
      <w:pPr>
        <w:spacing w:before="0" w:after="0" w:line="408" w:lineRule="exact"/>
        <w:ind w:left="0" w:right="0" w:firstLine="576"/>
        <w:jc w:val="left"/>
      </w:pPr>
      <w:r>
        <w:rPr/>
        <w:t xml:space="preserve">(b) If the seller can identify by reasonable and verifiable standards the portion of the selling price attributable to the vapor products from its books and records that are kept in the regular course of business for other purposes including, but not limited to, nontax purposes, the tax imposed by this section only applies to that portion of the selling price of the product attributable to the vapor products.</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 The moneys collected under this section must be deposited as follows: (a) Sixty percent into the state general fund; and (b) forty percent into the essential public health services account created in section 203 of this act.</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The revenue from the tax collected under section 202 of this act must be deposited into the account. Moneys in the account may be spent only after appropriation to the department of health. The department must use the moneys in the account for each of the four following purposes: (a) To fund essential governmental public health services; (b) to fund tobacco control and prevention and other substance use prevention and education; (c) to use to strengthen and support public health system capabilities, including accredited higher education public health programs; and (d) enforcement by the liquor control board of the provisions of House Bill No. 1645 (Z-0382/15) to prevent sales of e-cigarettes and vapor products to minors and related provisions for control of marketing and product safety, provided that no more than 12.5 percent of the funds deposited into the account established by this section may be utilized and distributed by the department to the liquor control board for these enforcement purposes.</w:t>
      </w:r>
    </w:p>
    <w:p>
      <w:pPr>
        <w:spacing w:before="0" w:after="0" w:line="408" w:lineRule="exact"/>
        <w:ind w:left="0" w:right="0" w:firstLine="576"/>
        <w:jc w:val="left"/>
      </w:pPr>
      <w:r>
        <w:rPr/>
        <w:t xml:space="preserve">(2) To determine the funding for essential governmental public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202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this chapter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liquor control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under section 201(6)(d) of this act and for those invoices required to be provided to retailers under section 208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in the distributor's own vehicle, a manufacturer's representative authorized to sell or distribute vapor products in this state under section 219 of this act, or a licensed retailer in the retailer's own vehicle; or (b)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220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and retailers licensed under this chapter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section 201(6)(d) of this act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vapor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this chapter must be licensed both as a retailer and a distributor under this chapter and is liable for the tax imposed under section 202 of this act with respect to the vapor products acquired from the unlicensed person that are held for sale, handling, or distribution in this state. For the purposes of this subsection, "person" includes both persons defined in section 201(10) of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may sell vapor products to retailers located in Washington only if the retailer has a current retailer's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this chapter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section 217 of this act, or a person who is selling vapor products in violation of section 220(6) of this act,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the taxpayer's excise tax return for a reporting period that includes tax liability accruing on and after October 1, 2015, consistent with the taxpayer's regular tax reporting frequency.</w:t>
      </w:r>
    </w:p>
    <w:p>
      <w:pPr>
        <w:spacing w:before="0" w:after="0" w:line="408" w:lineRule="exact"/>
        <w:ind w:left="0" w:right="0" w:firstLine="576"/>
        <w:jc w:val="left"/>
      </w:pPr>
      <w:r>
        <w:rPr/>
        <w:t xml:space="preserve">(2) A retailer required to comply with subsection (1) of this section is not required to obtain a distributor's license as otherwise required under this chapter as long as the retailer: (a) Does not sell vapor products other than to ultimate consumers; and (b) does not meet the definition of "distributor" in section 201(6)(d)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202(2)(b) of this act from consumers with respect to any vapor products acquired before the effective date of section 202 of this act.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definitions in section 201 of this act apply; and</w:t>
      </w:r>
    </w:p>
    <w:p>
      <w:pPr>
        <w:spacing w:before="0" w:after="0" w:line="408" w:lineRule="exact"/>
        <w:ind w:left="0" w:right="0" w:firstLine="576"/>
        <w:jc w:val="left"/>
      </w:pPr>
      <w:r>
        <w:rPr/>
        <w:t xml:space="preserve">(b)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control board may issue subpoenas in connection with any investigation, hearing, or proceeding for the production of books, records, and documents held under this chapter or chapters 70.155, 70.158, 82.24, </w:t>
      </w:r>
      <w:r>
        <w:t>((</w:t>
      </w:r>
      <w:r>
        <w:rPr>
          <w:strike/>
        </w:rPr>
        <w:t xml:space="preserve">and</w:t>
      </w:r>
      <w:r>
        <w:t>))</w:t>
      </w:r>
      <w:r>
        <w:rPr/>
        <w:t xml:space="preserve"> 82.26</w:t>
      </w:r>
      <w:r>
        <w:rPr>
          <w:u w:val="single"/>
        </w:rPr>
        <w:t xml:space="preserve">, and 82.--</w:t>
      </w:r>
      <w:r>
        <w:rPr/>
        <w:t xml:space="preserve"> RCW </w:t>
      </w:r>
      <w:r>
        <w:rPr>
          <w:u w:val="single"/>
        </w:rPr>
        <w:t xml:space="preserve">(the new chapter created in section 403 of this act)</w:t>
      </w:r>
      <w:r>
        <w:rPr/>
        <w:t xml:space="preserve">,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control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the provisions of this chapter. The board may adopt, amend, and repeal rules necessary to enforce and administer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t xml:space="preserve"> </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w:t>
      </w:r>
      <w:r>
        <w:t>))</w:t>
      </w:r>
      <w:r>
        <w:rPr/>
        <w:t xml:space="preserve"> </w:t>
      </w:r>
      <w:r>
        <w:rPr>
          <w:u w:val="single"/>
        </w:rPr>
        <w:t xml:space="preserve">must</w:t>
      </w:r>
      <w:r>
        <w:rPr/>
        <w:t xml:space="preserve"> be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this chapter. The board may adopt, amend, and repeal rules necessary to enforce and administer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of revenue </w:t>
      </w:r>
      <w:r>
        <w:t>((</w:t>
      </w:r>
      <w:r>
        <w:rPr>
          <w:strike/>
        </w:rPr>
        <w:t xml:space="preserve">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control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which </w:t>
      </w:r>
      <w:r>
        <w:t>((</w:t>
      </w:r>
      <w:r>
        <w:rPr>
          <w:strike/>
        </w:rPr>
        <w:t xml:space="preserve">shall</w:t>
      </w:r>
      <w:r>
        <w:t>))</w:t>
      </w:r>
      <w:r>
        <w:rPr/>
        <w:t xml:space="preserve"> </w:t>
      </w:r>
      <w:r>
        <w:rPr>
          <w:u w:val="single"/>
        </w:rPr>
        <w:t xml:space="preserve">must</w:t>
      </w:r>
      <w:r>
        <w:rPr/>
        <w:t xml:space="preserve"> have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w:t>
      </w:r>
      <w:r>
        <w:t>))</w:t>
      </w:r>
      <w:r>
        <w:rPr/>
        <w:t xml:space="preserve"> </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control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 and therefore the liquor control board is responsible for enforcement activities that come under the terms of chapter 82.-- RCW (the new chapter created in section 403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control board.</w:t>
      </w:r>
    </w:p>
    <w:p>
      <w:pPr>
        <w:spacing w:before="0" w:after="0" w:line="408" w:lineRule="exact"/>
        <w:ind w:left="0" w:right="0" w:firstLine="576"/>
        <w:jc w:val="left"/>
      </w:pPr>
      <w:r>
        <w:rPr/>
        <w:t xml:space="preserve">(13) For purposes of this section and sections 303 and 305 through 307 of this act:</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in RCW 82.24.010;</w:t>
      </w:r>
    </w:p>
    <w:p>
      <w:pPr>
        <w:spacing w:before="0" w:after="0" w:line="408" w:lineRule="exact"/>
        <w:ind w:left="0" w:right="0" w:firstLine="576"/>
        <w:jc w:val="left"/>
      </w:pPr>
      <w:r>
        <w:rPr/>
        <w:t xml:space="preserve">(c)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 and</w:t>
      </w:r>
    </w:p>
    <w:p>
      <w:pPr>
        <w:spacing w:before="0" w:after="0" w:line="408" w:lineRule="exact"/>
        <w:ind w:left="0" w:right="0" w:firstLine="576"/>
        <w:jc w:val="left"/>
      </w:pPr>
      <w:r>
        <w:rPr/>
        <w:t xml:space="preserve">(e)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except the Puyallup Tribe of Indians.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control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control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control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chapter 82.24 RCW.</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 or a vapor product tax agreement under section 304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225 and 307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066265c1fec540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e1230183a4a19" /><Relationship Type="http://schemas.openxmlformats.org/officeDocument/2006/relationships/footer" Target="/word/footer.xml" Id="R066265c1fec540cb" /></Relationships>
</file>