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adcc0b404453" /></Relationships>
</file>

<file path=word/document.xml><?xml version="1.0" encoding="utf-8"?>
<w:document xmlns:w="http://schemas.openxmlformats.org/wordprocessingml/2006/main">
  <w:body>
    <w:p>
      <w:r>
        <w:t>H-2465.1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by modifying and improving the fairness of Washington's excise tax system by reinstating a previously expired surtax on certain business and occupation taxes while increasing the small business tax credit and implementing marketplace fairness in Washington.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investing in education and essential public services by modifying and improving the fairness of Washington's excise tax system by reinstating a previously expired surtax on certain business and occupation taxes while increasing the small business tax credit and implementing marketplace fairness in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81c6ea081445c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2b5713ed24305" /><Relationship Type="http://schemas.openxmlformats.org/officeDocument/2006/relationships/footer" Target="/word/footer.xml" Id="R2e81c6ea081445c8" /></Relationships>
</file>