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3bf4dc8ba49b6" /></Relationships>
</file>

<file path=word/document.xml><?xml version="1.0" encoding="utf-8"?>
<w:document xmlns:w="http://schemas.openxmlformats.org/wordprocessingml/2006/main">
  <w:body>
    <w:p>
      <w:r>
        <w:t>H-2780.2</w:t>
      </w:r>
    </w:p>
    <w:p>
      <w:pPr>
        <w:jc w:val="center"/>
      </w:pPr>
      <w:r>
        <w:t>_______________________________________________</w:t>
      </w:r>
    </w:p>
    <w:p/>
    <w:p>
      <w:pPr>
        <w:jc w:val="center"/>
      </w:pPr>
      <w:r>
        <w:rPr>
          <w:b/>
        </w:rPr>
        <w:t>HOUSE BILL 2256</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Bergquist and S. Hunt</w:t>
      </w:r>
    </w:p>
    <w:p/>
    <w:p>
      <w:r>
        <w:rPr>
          <w:t xml:space="preserve">Read first time 05/08/15.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incidental and undisclosed campaign contributions; amending RCW 42.17A.235, 42.17A.240, and 42.17A.250;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t xml:space="preserve"> </w:t>
      </w:r>
      <w:r>
        <w:rPr>
          <w:u w:val="single"/>
        </w:rPr>
        <w:t xml:space="preserve">does</w:t>
      </w:r>
      <w:r>
        <w:rPr/>
        <w:t xml:space="preserve">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 any organization registered under section 527 of the internal revenue code of 1986 that files:</w:t>
      </w:r>
    </w:p>
    <w:p>
      <w:pPr>
        <w:spacing w:before="0" w:after="0" w:line="408" w:lineRule="exact"/>
        <w:ind w:left="0" w:right="0" w:firstLine="576"/>
        <w:jc w:val="left"/>
      </w:pPr>
      <w:r>
        <w:rPr>
          <w:u w:val="single"/>
        </w:rPr>
        <w:t xml:space="preserve">(i) Disclosure reports as a political committee with the public disclosure commission;</w:t>
      </w:r>
    </w:p>
    <w:p>
      <w:pPr>
        <w:spacing w:before="0" w:after="0" w:line="408" w:lineRule="exact"/>
        <w:ind w:left="0" w:right="0" w:firstLine="576"/>
        <w:jc w:val="left"/>
      </w:pPr>
      <w:r>
        <w:rPr>
          <w:u w:val="single"/>
        </w:rPr>
        <w:t xml:space="preserve">(ii) Disclosure reports with the federal elections commission at least as frequently as required for incidental committees under this chapter; or</w:t>
      </w:r>
    </w:p>
    <w:p>
      <w:pPr>
        <w:spacing w:before="0" w:after="0" w:line="408" w:lineRule="exact"/>
        <w:ind w:left="0" w:right="0" w:firstLine="576"/>
        <w:jc w:val="left"/>
      </w:pPr>
      <w:r>
        <w:rPr>
          <w:u w:val="single"/>
        </w:rPr>
        <w:t xml:space="preserve">(iii) Public filings with the internal revenue service at least as frequently as required for incidental committees under this chapter.</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shall provide a link on its web site to a searchable database on the web site of the federal election commission containing information on organizations under section 527 of the internal revenue code of 1986.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of at least twenty-five thousand dollars in a calendar year in any election campaign, or to a political committee; and </w:t>
      </w:r>
    </w:p>
    <w:p>
      <w:pPr>
        <w:spacing w:before="0" w:after="0" w:line="408" w:lineRule="exact"/>
        <w:ind w:left="0" w:right="0" w:firstLine="576"/>
        <w:jc w:val="left"/>
      </w:pPr>
      <w:r>
        <w:rPr/>
        <w:t xml:space="preserve">(ii) Must disclose a received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contribution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2015,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Contributions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spacing w:before="0" w:after="0" w:line="408" w:lineRule="exact"/>
        <w:ind w:left="0" w:right="0" w:firstLine="576"/>
        <w:jc w:val="left"/>
      </w:pPr>
      <w:r>
        <w:rPr>
          <w:u w:val="single"/>
        </w:rPr>
        <w:t xml:space="preserve">(ii) The person contributed a value of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in support of or in opposition to any election campaign or to a political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elimination of undisclosed campaign contributions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74dee14d63a48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61842ca1f4dbb" /><Relationship Type="http://schemas.openxmlformats.org/officeDocument/2006/relationships/footer" Target="/word/footer.xml" Id="R174dee14d63a48bd" /></Relationships>
</file>