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6423d31b14d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Harmsworth, Bergquist, Hayes, Morris, Moscoso, Pollet, Vick, Wilson, Van Werven, and Haler)</w:t>
      </w:r>
    </w:p>
    <w:p/>
    <w:p/>
    <w:p>
      <w:r>
        <w:br/>
      </w:r>
    </w:p>
    <w:p>
      <w:r>
        <w:fldChar w:fldCharType="begin"/>
      </w:r>
      <w:r>
        <w:instrText xml:space="default"> ADVANCE \y328 </w:instrText>
      </w:r>
      <w:r>
        <w:fldChar w:fldCharType="end"/>
      </w:r>
    </w:p>
    <w:p>
      <w:pPr>
        <w:ind w:left="0" w:right="0" w:firstLine="360"/>
        <w:jc w:val="both"/>
      </w:pPr>
      <w:r>
        <w:rPr/>
        <w:t xml:space="preserve">AN ACT Relating to protecting individuals from reports of sale filed with an incorrect buyer of a subsequently abandoned vehicle; amending RCW 46.12.650, 46.55.105, 19.16.250, and 9.94A.753; and adding a new section to chapter 46.64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2015 3rd sp.s. c 44 s 214 are each amended to read as follows:</w:t>
      </w:r>
    </w:p>
    <w:p>
      <w:pPr>
        <w:ind w:left="0" w:right="0" w:firstLine="360"/>
        <w:jc w:val="both"/>
      </w:pPr>
      <w:r>
        <w:rPr/>
        <w:t xml:space="preserve">(1) </w:t>
      </w:r>
      <w:r>
        <w:rPr>
          <w:b/>
        </w:rPr>
        <w:t xml:space="preserve">Releasing interest.</w:t>
      </w:r>
      <w:r>
        <w:rPr/>
        <w:t xml:space="preserve"> An owner releasing interest in a vehicle shall:</w:t>
      </w:r>
    </w:p>
    <w:p>
      <w:pPr>
        <w:ind w:left="0" w:right="0" w:firstLine="360"/>
        <w:jc w:val="both"/>
      </w:pPr>
      <w:r>
        <w:rPr/>
        <w:t xml:space="preserve">(a) Sign the release of interest section provided on the certificate of title or on a release of interest document or form approved by the department;</w:t>
      </w:r>
    </w:p>
    <w:p>
      <w:pPr>
        <w:ind w:left="0" w:right="0" w:firstLine="360"/>
        <w:jc w:val="both"/>
      </w:pPr>
      <w:r>
        <w:rPr/>
        <w:t xml:space="preserve">(b) Give the certificate of title or most recent evidence of ownership to the person gaining the interest in the vehicle;</w:t>
      </w:r>
    </w:p>
    <w:p>
      <w:pPr>
        <w:ind w:left="0" w:right="0" w:firstLine="360"/>
        <w:jc w:val="both"/>
      </w:pPr>
      <w:r>
        <w:rPr/>
        <w:t xml:space="preserve">(c) Give the person gaining interest in the vehicle an odometer disclosure statement if one is required; and</w:t>
      </w:r>
    </w:p>
    <w:p>
      <w:pPr>
        <w:ind w:left="0" w:right="0" w:firstLine="360"/>
        <w:jc w:val="both"/>
      </w:pPr>
      <w:r>
        <w:rPr/>
        <w:t xml:space="preserve">(d) Report the vehicle sold as provided in subsection (2) of this section.</w:t>
      </w:r>
    </w:p>
    <w:p>
      <w:pPr>
        <w:ind w:left="0" w:right="0" w:firstLine="360"/>
        <w:jc w:val="both"/>
      </w:pPr>
      <w:r>
        <w:rPr/>
        <w:t xml:space="preserve">(2) </w:t>
      </w:r>
      <w:r>
        <w:rPr>
          <w:b/>
        </w:rPr>
        <w:t xml:space="preserve">Report of sale.</w:t>
      </w:r>
      <w:r>
        <w:rPr/>
        <w:t xml:space="preserve"> An owner shall notify the department, county auditor or other agent, or subagent appointed by the director in writing within </w:t>
      </w:r>
      <w:r>
        <w:t>((</w:t>
      </w:r>
      <w:r>
        <w:rPr>
          <w:strike/>
        </w:rPr>
        <w:t xml:space="preserve">twenty-one</w:t>
      </w:r>
      <w:r>
        <w:t>))</w:t>
      </w:r>
      <w:r>
        <w:rPr/>
        <w:t xml:space="preserve"> </w:t>
      </w:r>
      <w:r>
        <w:rPr>
          <w:u w:val="single"/>
        </w:rPr>
        <w:t xml:space="preserve">five</w:t>
      </w:r>
      <w:r>
        <w:rPr/>
        <w:t xml:space="preserve"> business days after a vehicle is or has been:</w:t>
      </w:r>
    </w:p>
    <w:p>
      <w:pPr>
        <w:ind w:left="0" w:right="0" w:firstLine="360"/>
        <w:jc w:val="both"/>
      </w:pPr>
      <w:r>
        <w:rPr/>
        <w:t xml:space="preserve">(a) Sold;</w:t>
      </w:r>
    </w:p>
    <w:p>
      <w:pPr>
        <w:ind w:left="0" w:right="0" w:firstLine="360"/>
        <w:jc w:val="both"/>
      </w:pPr>
      <w:r>
        <w:rPr/>
        <w:t xml:space="preserve">(b) Given as a gift to another person;</w:t>
      </w:r>
    </w:p>
    <w:p>
      <w:pPr>
        <w:ind w:left="0" w:right="0" w:firstLine="360"/>
        <w:jc w:val="both"/>
      </w:pPr>
      <w:r>
        <w:rPr/>
        <w:t xml:space="preserve">(c) Traded, either privately or to a dealership;</w:t>
      </w:r>
    </w:p>
    <w:p>
      <w:pPr>
        <w:ind w:left="0" w:right="0" w:firstLine="360"/>
        <w:jc w:val="both"/>
      </w:pPr>
      <w:r>
        <w:rPr/>
        <w:t xml:space="preserve">(d) Donated to charity;</w:t>
      </w:r>
    </w:p>
    <w:p>
      <w:pPr>
        <w:ind w:left="0" w:right="0" w:firstLine="360"/>
        <w:jc w:val="both"/>
      </w:pPr>
      <w:r>
        <w:rPr/>
        <w:t xml:space="preserve">(e) Turned over to an insurance company or wrecking yard; or</w:t>
      </w:r>
    </w:p>
    <w:p>
      <w:pPr>
        <w:ind w:left="0" w:right="0" w:firstLine="360"/>
        <w:jc w:val="both"/>
      </w:pPr>
      <w:r>
        <w:rPr/>
        <w:t xml:space="preserve">(f) Disposed of.</w:t>
      </w:r>
    </w:p>
    <w:p>
      <w:pPr>
        <w:ind w:left="0" w:right="0" w:firstLine="360"/>
        <w:jc w:val="both"/>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t>((</w:t>
      </w:r>
      <w:r>
        <w:rPr>
          <w:strike/>
        </w:rPr>
        <w:t xml:space="preserve">twenty-one</w:t>
      </w:r>
      <w:r>
        <w:t>))</w:t>
      </w:r>
      <w:r>
        <w:rPr/>
        <w:t xml:space="preserve"> </w:t>
      </w:r>
      <w:r>
        <w:rPr>
          <w:u w:val="single"/>
        </w:rPr>
        <w:t xml:space="preserve">five</w:t>
      </w:r>
      <w:r>
        <w:rPr/>
        <w:t xml:space="preserve"> business days after the date of sale or transfer and it includes:</w:t>
      </w:r>
    </w:p>
    <w:p>
      <w:pPr>
        <w:ind w:left="0" w:right="0" w:firstLine="360"/>
        <w:jc w:val="both"/>
      </w:pPr>
      <w:r>
        <w:rPr/>
        <w:t xml:space="preserve">(a) The date of sale or transfer;</w:t>
      </w:r>
    </w:p>
    <w:p>
      <w:pPr>
        <w:ind w:left="0" w:right="0" w:firstLine="360"/>
        <w:jc w:val="both"/>
      </w:pPr>
      <w:r>
        <w:rPr/>
        <w:t xml:space="preserve">(b) The owner's </w:t>
      </w:r>
      <w:r>
        <w:rPr>
          <w:u w:val="single"/>
        </w:rPr>
        <w:t xml:space="preserve">full</w:t>
      </w:r>
      <w:r>
        <w:rPr/>
        <w:t xml:space="preserve"> name and </w:t>
      </w:r>
      <w:r>
        <w:rPr>
          <w:u w:val="single"/>
        </w:rPr>
        <w:t xml:space="preserve">complete, current</w:t>
      </w:r>
      <w:r>
        <w:rPr/>
        <w:t xml:space="preserve"> address;</w:t>
      </w:r>
    </w:p>
    <w:p>
      <w:pPr>
        <w:ind w:left="0" w:right="0" w:firstLine="360"/>
        <w:jc w:val="both"/>
      </w:pPr>
      <w:r>
        <w:rPr/>
        <w:t xml:space="preserve">(c) The </w:t>
      </w:r>
      <w:r>
        <w:rPr>
          <w:u w:val="single"/>
        </w:rPr>
        <w:t xml:space="preserve">full</w:t>
      </w:r>
      <w:r>
        <w:rPr/>
        <w:t xml:space="preserve"> name and </w:t>
      </w:r>
      <w:r>
        <w:rPr>
          <w:u w:val="single"/>
        </w:rPr>
        <w:t xml:space="preserve">complete, current</w:t>
      </w:r>
      <w:r>
        <w:rPr/>
        <w:t xml:space="preserve"> address of the person acquiring the vehicle</w:t>
      </w:r>
      <w:r>
        <w:rPr>
          <w:u w:val="single"/>
        </w:rPr>
        <w:t xml:space="preserve">, including street name and number, and apartment number if applicable, or post office box number, city or town, and postal code</w:t>
      </w:r>
      <w:r>
        <w:rPr/>
        <w:t xml:space="preserve">;</w:t>
      </w:r>
    </w:p>
    <w:p>
      <w:pPr>
        <w:ind w:left="0" w:right="0" w:firstLine="360"/>
        <w:jc w:val="both"/>
      </w:pPr>
      <w:r>
        <w:rPr/>
        <w:t xml:space="preserve">(d) The vehicle identification number and license plate number;</w:t>
      </w:r>
    </w:p>
    <w:p>
      <w:pPr>
        <w:ind w:left="0" w:right="0" w:firstLine="360"/>
        <w:jc w:val="both"/>
      </w:pPr>
      <w:r>
        <w:rPr/>
        <w:t xml:space="preserve">(e) A date or stamp by the department showing it was received on or before the </w:t>
      </w:r>
      <w:r>
        <w:t>((</w:t>
      </w:r>
      <w:r>
        <w:rPr>
          <w:strike/>
        </w:rPr>
        <w:t xml:space="preserve">twenty-first</w:t>
      </w:r>
      <w:r>
        <w:t>))</w:t>
      </w:r>
      <w:r>
        <w:rPr/>
        <w:t xml:space="preserve"> </w:t>
      </w:r>
      <w:r>
        <w:rPr>
          <w:u w:val="single"/>
        </w:rPr>
        <w:t xml:space="preserve">fifth</w:t>
      </w:r>
      <w:r>
        <w:rPr/>
        <w:t xml:space="preserve"> business day after the date of sale or transfer; and</w:t>
      </w:r>
    </w:p>
    <w:p>
      <w:pPr>
        <w:ind w:left="0" w:right="0" w:firstLine="360"/>
        <w:jc w:val="both"/>
      </w:pPr>
      <w:r>
        <w:rPr/>
        <w:t xml:space="preserve">(f) Payment of the fees required under RCW 46.17.050.</w:t>
      </w:r>
    </w:p>
    <w:p>
      <w:pPr>
        <w:ind w:left="0" w:right="0" w:firstLine="360"/>
        <w:jc w:val="both"/>
      </w:pPr>
      <w:r>
        <w:rPr/>
        <w:t xml:space="preserve">(4) </w:t>
      </w:r>
      <w:r>
        <w:rPr>
          <w:b/>
        </w:rPr>
        <w:t xml:space="preserve">Report of sale - administration.</w:t>
      </w:r>
      <w:r>
        <w:rPr/>
        <w:t xml:space="preserve"> (a) The department shall:</w:t>
      </w:r>
    </w:p>
    <w:p>
      <w:pPr>
        <w:ind w:left="0" w:right="0" w:firstLine="360"/>
        <w:jc w:val="both"/>
      </w:pPr>
      <w:r>
        <w:rPr/>
        <w:t xml:space="preserve">(i) Provide or approve reports of sale forms;</w:t>
      </w:r>
    </w:p>
    <w:p>
      <w:pPr>
        <w:ind w:left="0" w:right="0" w:firstLine="360"/>
        <w:jc w:val="both"/>
      </w:pPr>
      <w:r>
        <w:rPr/>
        <w:t xml:space="preserve">(ii) Provide a system enabling an owner to submit reports of sale electronically;</w:t>
      </w:r>
    </w:p>
    <w:p>
      <w:pPr>
        <w:ind w:left="0" w:right="0" w:firstLine="360"/>
        <w:jc w:val="both"/>
      </w:pPr>
      <w:r>
        <w:rPr/>
        <w:t xml:space="preserve">(iii) Immediately update the department's vehicle record when a report of sale has been filed;</w:t>
      </w:r>
    </w:p>
    <w:p>
      <w:pPr>
        <w:ind w:left="0" w:right="0" w:firstLine="360"/>
        <w:jc w:val="both"/>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ind w:left="0" w:right="0" w:firstLine="360"/>
        <w:jc w:val="both"/>
      </w:pPr>
      <w:r>
        <w:rPr/>
        <w:t xml:space="preserve">(v) Send a report to the department of revenue that lists vehicles for which a report of sale has been received but no transfer of ownership has taken place. The department shall send the report once each quarter.</w:t>
      </w:r>
    </w:p>
    <w:p>
      <w:pPr>
        <w:ind w:left="0" w:right="0" w:firstLine="360"/>
        <w:jc w:val="both"/>
      </w:pPr>
      <w:r>
        <w:rPr/>
        <w:t xml:space="preserve">(b) </w:t>
      </w:r>
      <w:r>
        <w:t>((</w:t>
      </w:r>
      <w:r>
        <w:rPr>
          <w:strike/>
        </w:rPr>
        <w:t xml:space="preserve">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r>
        <w:t>))</w:t>
      </w:r>
      <w:r>
        <w:rPr/>
        <w:t xml:space="preserve"> </w:t>
      </w:r>
      <w:r>
        <w:rPr>
          <w:u w:val="single"/>
        </w:rPr>
        <w:t xml:space="preserve">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or other legal proof of acceptance of the vehicle by the new owner may be provided to establish legal responsibility for the abandoned vehicle.</w:t>
      </w:r>
    </w:p>
    <w:p>
      <w:pPr>
        <w:ind w:left="0" w:right="0" w:firstLine="360"/>
        <w:jc w:val="both"/>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ind w:left="0" w:right="0" w:firstLine="360"/>
        <w:jc w:val="both"/>
      </w:pPr>
      <w:r>
        <w:rPr/>
        <w:t xml:space="preserve">(i) Apply for a new certificate of title on behalf of the owner and pay the fee required under RCW 46.17.100; or</w:t>
      </w:r>
    </w:p>
    <w:p>
      <w:pPr>
        <w:ind w:left="0" w:right="0" w:firstLine="360"/>
        <w:jc w:val="both"/>
      </w:pPr>
      <w:r>
        <w:rPr/>
        <w:t xml:space="preserve">(ii) Provide all required documents to the owner, as long as the transfer was not a breach of its security agreement, to allow the owner to apply for a new certificate of title.</w:t>
      </w:r>
    </w:p>
    <w:p>
      <w:pPr>
        <w:ind w:left="0" w:right="0" w:firstLine="360"/>
        <w:jc w:val="both"/>
      </w:pPr>
      <w:r>
        <w:rPr/>
        <w:t xml:space="preserve">(b) Compliance with this subsection does not affect the rights of the secured party.</w:t>
      </w:r>
    </w:p>
    <w:p>
      <w:pPr>
        <w:ind w:left="0" w:right="0" w:firstLine="360"/>
        <w:jc w:val="both"/>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ind w:left="0" w:right="0" w:firstLine="360"/>
        <w:jc w:val="both"/>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ind w:left="0" w:right="0" w:firstLine="360"/>
        <w:jc w:val="both"/>
      </w:pPr>
      <w:r>
        <w:rPr/>
        <w:t xml:space="preserve">(8) </w:t>
      </w:r>
      <w:r>
        <w:rPr>
          <w:b/>
        </w:rPr>
        <w:t xml:space="preserve">Penalty for late transfer - exceptions.</w:t>
      </w:r>
      <w:r>
        <w:rPr/>
        <w:t xml:space="preserve"> The penalty is not charged if the delay in application is due to at least one of the following:</w:t>
      </w:r>
    </w:p>
    <w:p>
      <w:pPr>
        <w:ind w:left="0" w:right="0" w:firstLine="360"/>
        <w:jc w:val="both"/>
      </w:pPr>
      <w:r>
        <w:rPr/>
        <w:t xml:space="preserve">(a) The department requests additional supporting documents;</w:t>
      </w:r>
    </w:p>
    <w:p>
      <w:pPr>
        <w:ind w:left="0" w:right="0" w:firstLine="360"/>
        <w:jc w:val="both"/>
      </w:pPr>
      <w:r>
        <w:rPr/>
        <w:t xml:space="preserve">(b) The department, county auditor or other agent, or subagent fails to perform or is neglectful;</w:t>
      </w:r>
    </w:p>
    <w:p>
      <w:pPr>
        <w:ind w:left="0" w:right="0" w:firstLine="360"/>
        <w:jc w:val="both"/>
      </w:pPr>
      <w:r>
        <w:rPr/>
        <w:t xml:space="preserve">(c) The owner is prevented from applying due to an illness or extended hospitalization;</w:t>
      </w:r>
    </w:p>
    <w:p>
      <w:pPr>
        <w:ind w:left="0" w:right="0" w:firstLine="360"/>
        <w:jc w:val="both"/>
      </w:pPr>
      <w:r>
        <w:rPr/>
        <w:t xml:space="preserve">(d) The legal owner fails or neglects to release interest;</w:t>
      </w:r>
    </w:p>
    <w:p>
      <w:pPr>
        <w:ind w:left="0" w:right="0" w:firstLine="360"/>
        <w:jc w:val="both"/>
      </w:pPr>
      <w:r>
        <w:rPr/>
        <w:t xml:space="preserve">(e) The owner did not know of the filing of a report of sale by the previous owner and signs an affidavit to the fact; or</w:t>
      </w:r>
    </w:p>
    <w:p>
      <w:pPr>
        <w:ind w:left="0" w:right="0" w:firstLine="360"/>
        <w:jc w:val="both"/>
      </w:pPr>
      <w:r>
        <w:rPr/>
        <w:t xml:space="preserve">(f) The department finds other conditions exist that adequately explain the delay.</w:t>
      </w:r>
    </w:p>
    <w:p>
      <w:pPr>
        <w:ind w:left="0" w:right="0" w:firstLine="360"/>
        <w:jc w:val="both"/>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ind w:left="0" w:right="0" w:firstLine="360"/>
        <w:jc w:val="both"/>
      </w:pPr>
      <w:r>
        <w:rPr/>
        <w:t xml:space="preserve">(10) </w:t>
      </w:r>
      <w:r>
        <w:rPr>
          <w:b/>
        </w:rPr>
        <w:t xml:space="preserve">Rules.</w:t>
      </w:r>
      <w:r>
        <w:rPr/>
        <w:t xml:space="preserve"> The department may adopt rules as necessary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ind w:left="0" w:right="0" w:firstLine="360"/>
        <w:jc w:val="both"/>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ind w:left="0" w:right="0" w:firstLine="360"/>
        <w:jc w:val="both"/>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ind w:left="0" w:right="0" w:firstLine="360"/>
        <w:jc w:val="both"/>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ind w:left="0" w:right="0" w:firstLine="360"/>
        <w:jc w:val="both"/>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made pursuant to a legal transfer or accepted by the person reported as the new owner on the report of sale.</w:t>
      </w:r>
      <w:r>
        <w:rPr/>
        <w:t xml:space="preserve"> If the date of sale as indicated on the report of sale is </w:t>
      </w:r>
      <w:r>
        <w:t>((</w:t>
      </w:r>
      <w:r>
        <w:rPr>
          <w:strike/>
        </w:rPr>
        <w:t xml:space="preserve">on or</w:t>
      </w:r>
      <w:r>
        <w:t>))</w:t>
      </w:r>
      <w:r>
        <w:rPr/>
        <w:t xml:space="preserve">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ind w:left="0" w:right="0" w:firstLine="360"/>
        <w:jc w:val="both"/>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ind w:left="0" w:right="0" w:firstLine="360"/>
        <w:jc w:val="both"/>
      </w:pPr>
      <w:r>
        <w:rPr/>
        <w:t xml:space="preserve">(6) A notice of infraction for a violation of this section may be filed with a court of limited jurisdiction organized under Title 3, 35, or 35A RCW, or with a violations bureau subject to the court's jurisdiction.</w:t>
      </w:r>
    </w:p>
    <w:p>
      <w:pPr>
        <w:ind w:left="0" w:right="0" w:firstLine="360"/>
        <w:jc w:val="both"/>
      </w:pPr>
      <w:r>
        <w:rPr>
          <w:u w:val="single"/>
        </w:rPr>
        <w:t xml:space="preserve">(7)(a) A person named as a buyer in a report of sale filed under RCW 46.12.650(4)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(7)(a) is in addition to any other remedy available to the person at law or in equity.</w:t>
      </w:r>
    </w:p>
    <w:p>
      <w:pPr>
        <w:ind w:left="0" w:right="0" w:firstLine="360"/>
        <w:jc w:val="both"/>
      </w:pPr>
      <w:r>
        <w:rPr>
          <w:u w:val="single"/>
        </w:rPr>
        <w:t xml:space="preserve">(b) A person named as a seller in a report of sale filed under RCW 46.12.650(4) in which the named buyer alleges that there was no acceptance of the transfer has a cause of action against the named buyer to recover damages incurred as a result of the allegation, including reasonable attorneys' fees and litigation costs. The cause of action in this subsection (7)(b) is in addition to any other remedy available to the person at law or in equity.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ind w:left="0" w:right="0" w:firstLine="360"/>
        <w:jc w:val="both"/>
      </w:pPr>
      <w:r>
        <w:rPr/>
        <w:t xml:space="preserve">If a court has declared that a fraudulent report of sale has been filed with the department, county auditor or other agent, or subagent appointed by the director, the court must notify the department in writing with a copy of the court order. Once notified, the department may remove the fraudulent report of sale from the vehicle record.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ind w:left="0" w:right="0" w:firstLine="360"/>
        <w:jc w:val="both"/>
      </w:pPr>
      <w:r>
        <w:rPr/>
        <w:t xml:space="preserve">No licensee or employee of a licensee shall:</w:t>
      </w:r>
    </w:p>
    <w:p>
      <w:pPr>
        <w:ind w:left="0" w:right="0" w:firstLine="360"/>
        <w:jc w:val="both"/>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ind w:left="0" w:right="0" w:firstLine="360"/>
        <w:jc w:val="both"/>
      </w:pPr>
      <w:r>
        <w:rPr/>
        <w:t xml:space="preserve">(2) Collect or attempt to collect a claim by the use of any means contrary to the postal laws and regulations of the United States postal department.</w:t>
      </w:r>
    </w:p>
    <w:p>
      <w:pPr>
        <w:ind w:left="0" w:right="0" w:firstLine="360"/>
        <w:jc w:val="both"/>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ind w:left="0" w:right="0" w:firstLine="360"/>
        <w:jc w:val="both"/>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ind w:left="0" w:right="0" w:firstLine="360"/>
        <w:jc w:val="both"/>
      </w:pPr>
      <w:r>
        <w:rPr/>
        <w:t xml:space="preserve">(5) Perform any act or acts, either directly or indirectly, constituting the unauthorized practice of law.</w:t>
      </w:r>
    </w:p>
    <w:p>
      <w:pPr>
        <w:ind w:left="0" w:right="0" w:firstLine="360"/>
        <w:jc w:val="both"/>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ind w:left="0" w:right="0" w:firstLine="360"/>
        <w:jc w:val="both"/>
      </w:pPr>
      <w:r>
        <w:rPr/>
        <w:t xml:space="preserve">(7) Use any name while engaged in the making of a demand for any claim other than the name set forth on his or her or its current license issued hereunder.</w:t>
      </w:r>
    </w:p>
    <w:p>
      <w:pPr>
        <w:ind w:left="0" w:right="0" w:firstLine="360"/>
        <w:jc w:val="both"/>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ind w:left="0" w:right="0" w:firstLine="360"/>
        <w:jc w:val="both"/>
      </w:pPr>
      <w:r>
        <w:rPr/>
        <w:t xml:space="preserve">(a) The name of the licensee and the city, street, and number at which he or she is licensed to do business;</w:t>
      </w:r>
    </w:p>
    <w:p>
      <w:pPr>
        <w:ind w:left="0" w:right="0" w:firstLine="360"/>
        <w:jc w:val="both"/>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ind w:left="0" w:right="0" w:firstLine="360"/>
        <w:jc w:val="both"/>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ind w:left="0" w:right="0" w:firstLine="360"/>
        <w:jc w:val="both"/>
      </w:pPr>
      <w:r>
        <w:rPr/>
        <w:t xml:space="preserve">(i) Amount owing on the original obligation at the time it was received by the licensee for collection or by assignment;</w:t>
      </w:r>
    </w:p>
    <w:p>
      <w:pPr>
        <w:ind w:left="0" w:right="0" w:firstLine="360"/>
        <w:jc w:val="both"/>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ind w:left="0" w:right="0" w:firstLine="360"/>
        <w:jc w:val="both"/>
      </w:pPr>
      <w:r>
        <w:rPr/>
        <w:t xml:space="preserve">(iii) Interest or service charge, if any, added by the licensee or customer or assignor after the obligation was received by the licensee for collection;</w:t>
      </w:r>
    </w:p>
    <w:p>
      <w:pPr>
        <w:ind w:left="0" w:right="0" w:firstLine="360"/>
        <w:jc w:val="both"/>
      </w:pPr>
      <w:r>
        <w:rPr/>
        <w:t xml:space="preserve">(iv) Collection costs, if any, that the licensee is attempting to collect;</w:t>
      </w:r>
    </w:p>
    <w:p>
      <w:pPr>
        <w:ind w:left="0" w:right="0" w:firstLine="360"/>
        <w:jc w:val="both"/>
      </w:pPr>
      <w:r>
        <w:rPr/>
        <w:t xml:space="preserve">(v) Attorneys' fees, if any, that the licensee is attempting to collect on his or her or its behalf or on the behalf of a customer or assignor; and</w:t>
      </w:r>
    </w:p>
    <w:p>
      <w:pPr>
        <w:ind w:left="0" w:right="0" w:firstLine="360"/>
        <w:jc w:val="both"/>
      </w:pPr>
      <w:r>
        <w:rPr/>
        <w:t xml:space="preserve">(vi) Any other charge or fee that the licensee is attempting to collect on his or her or its own behalf or on the behalf of a customer or assignor;</w:t>
      </w:r>
    </w:p>
    <w:p>
      <w:pPr>
        <w:ind w:left="0" w:right="0" w:firstLine="360"/>
        <w:jc w:val="both"/>
      </w:pPr>
      <w:r>
        <w:rPr/>
        <w:t xml:space="preserve">(d) If the notice, letter, message, or form concerns a judgment obtained against the debtor, no itemization of the amounts contained in the judgment is required, except postjudgment interest, if claimed, and the current account balance;</w:t>
      </w:r>
    </w:p>
    <w:p>
      <w:pPr>
        <w:ind w:left="0" w:right="0" w:firstLine="360"/>
        <w:jc w:val="both"/>
      </w:pPr>
      <w:r>
        <w:rPr/>
        <w:t xml:space="preserve">(e) If the notice, letter, message, or form is the first notice to the debtor, an itemization of the claim asserted must be made including the following information:</w:t>
      </w:r>
    </w:p>
    <w:p>
      <w:pPr>
        <w:ind w:left="0" w:right="0" w:firstLine="360"/>
        <w:jc w:val="both"/>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ind w:left="0" w:right="0" w:firstLine="360"/>
        <w:jc w:val="both"/>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ind w:left="0" w:right="0" w:firstLine="360"/>
        <w:jc w:val="both"/>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ind w:left="0" w:right="0" w:firstLine="360"/>
        <w:jc w:val="both"/>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ind w:left="0" w:right="0" w:firstLine="360"/>
        <w:jc w:val="both"/>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ind w:left="0" w:right="0" w:firstLine="360"/>
        <w:jc w:val="both"/>
      </w:pPr>
      <w:r>
        <w:rPr/>
        <w:t xml:space="preserve">(b) A licensee or employee in collecting or attempting to collect a claim may communicate the existence of a claim to a debtor's employer if the claim has been reduced to a judgment;</w:t>
      </w:r>
    </w:p>
    <w:p>
      <w:pPr>
        <w:ind w:left="0" w:right="0" w:firstLine="360"/>
        <w:jc w:val="both"/>
      </w:pPr>
      <w:r>
        <w:rPr/>
        <w:t xml:space="preserve">(c) A licensee or employee in collecting or attempting to collect a claim that has not been reduced to judgment, may communicate the existence of a claim to a debtor's employer if:</w:t>
      </w:r>
    </w:p>
    <w:p>
      <w:pPr>
        <w:ind w:left="0" w:right="0" w:firstLine="360"/>
        <w:jc w:val="both"/>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ind w:left="0" w:right="0" w:firstLine="360"/>
        <w:jc w:val="both"/>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ind w:left="0" w:right="0" w:firstLine="360"/>
        <w:jc w:val="both"/>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ind w:left="0" w:right="0" w:firstLine="360"/>
        <w:jc w:val="both"/>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ind w:left="0" w:right="0" w:firstLine="360"/>
        <w:jc w:val="both"/>
      </w:pPr>
      <w:r>
        <w:rPr/>
        <w:t xml:space="preserve">(ii) The debtor has not in writing disputed any part of the claim.</w:t>
      </w:r>
    </w:p>
    <w:p>
      <w:pPr>
        <w:ind w:left="0" w:right="0" w:firstLine="360"/>
        <w:jc w:val="both"/>
      </w:pPr>
      <w:r>
        <w:rPr/>
        <w:t xml:space="preserve">(e) A licensee may communicate the existence of a claim to its customers or clients if the claim is reduced to judgment, or if not reduced to judgment, when:</w:t>
      </w:r>
    </w:p>
    <w:p>
      <w:pPr>
        <w:ind w:left="0" w:right="0" w:firstLine="360"/>
        <w:jc w:val="both"/>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ind w:left="0" w:right="0" w:firstLine="360"/>
        <w:jc w:val="both"/>
      </w:pPr>
      <w:r>
        <w:rPr/>
        <w:t xml:space="preserve">(ii) The debtor has not in writing disputed any part of the claim.</w:t>
      </w:r>
    </w:p>
    <w:p>
      <w:pPr>
        <w:ind w:left="0" w:right="0" w:firstLine="360"/>
        <w:jc w:val="both"/>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ind w:left="0" w:right="0" w:firstLine="360"/>
        <w:jc w:val="both"/>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ind w:left="0" w:right="0" w:firstLine="360"/>
        <w:jc w:val="both"/>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ind w:left="0" w:right="0" w:firstLine="360"/>
        <w:jc w:val="both"/>
      </w:pPr>
      <w:r>
        <w:rPr/>
        <w:t xml:space="preserve">(a) It is made with a debtor or spouse in any form, manner, or place, more than three times in a single week, unless the licensee is responding to a communication from the debtor or spouse;</w:t>
      </w:r>
    </w:p>
    <w:p>
      <w:pPr>
        <w:ind w:left="0" w:right="0" w:firstLine="360"/>
        <w:jc w:val="both"/>
      </w:pPr>
      <w:r>
        <w:rPr/>
        <w:t xml:space="preserve">(b) It is made with a debtor at his or her place of employment more than one time in a single week, unless the licensee is responding to a communication from the debtor;</w:t>
      </w:r>
    </w:p>
    <w:p>
      <w:pPr>
        <w:ind w:left="0" w:right="0" w:firstLine="360"/>
        <w:jc w:val="both"/>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ind w:left="0" w:right="0" w:firstLine="360"/>
        <w:jc w:val="both"/>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ind w:left="0" w:right="0" w:firstLine="360"/>
        <w:jc w:val="both"/>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ind w:left="0" w:right="0" w:firstLine="360"/>
        <w:jc w:val="both"/>
      </w:pPr>
      <w:r>
        <w:rPr/>
        <w:t xml:space="preserve">(16) Threaten to take any action against the debtor which the licensee cannot legally take at the time the threat is made.</w:t>
      </w:r>
    </w:p>
    <w:p>
      <w:pPr>
        <w:ind w:left="0" w:right="0" w:firstLine="360"/>
        <w:jc w:val="both"/>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ind w:left="0" w:right="0" w:firstLine="360"/>
        <w:jc w:val="both"/>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ind w:left="0" w:right="0" w:firstLine="360"/>
        <w:jc w:val="both"/>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ind w:left="0" w:right="0" w:firstLine="360"/>
        <w:jc w:val="both"/>
      </w:pPr>
      <w:r>
        <w:rPr/>
        <w:t xml:space="preserve">(c) This subsection may not be construed to increase the number of communications permitted pursuant to subsection (13)(a) of this section.</w:t>
      </w:r>
    </w:p>
    <w:p>
      <w:pPr>
        <w:ind w:left="0" w:right="0" w:firstLine="360"/>
        <w:jc w:val="both"/>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ind w:left="0" w:right="0" w:firstLine="360"/>
        <w:jc w:val="both"/>
      </w:pPr>
      <w:r>
        <w:rPr/>
        <w:t xml:space="preserve">(19) Intentionally block its telephone number from displaying on a debtor's telephone.</w:t>
      </w:r>
    </w:p>
    <w:p>
      <w:pPr>
        <w:ind w:left="0" w:right="0" w:firstLine="360"/>
        <w:jc w:val="both"/>
      </w:pPr>
      <w:r>
        <w:rPr/>
        <w:t xml:space="preserve">(20) In any manner convey the impression that the licensee is vouched for, bonded to or by, or is an instrumentality of the state of Washington or any agency or department thereof.</w:t>
      </w:r>
    </w:p>
    <w:p>
      <w:pPr>
        <w:ind w:left="0" w:right="0" w:firstLine="360"/>
        <w:jc w:val="both"/>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ind w:left="0" w:right="0" w:firstLine="360"/>
        <w:jc w:val="both"/>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ind w:left="0" w:right="0" w:firstLine="360"/>
        <w:jc w:val="both"/>
      </w:pPr>
      <w:r>
        <w:rPr/>
        <w:t xml:space="preserve">(23) Bring an action or initiate an arbitration proceeding on a claim when the licensee knows, or reasonably should know, that such suit or arbitration is barred by the applicable statute of limitations.</w:t>
      </w:r>
    </w:p>
    <w:p>
      <w:pPr>
        <w:ind w:left="0" w:right="0" w:firstLine="360"/>
        <w:jc w:val="both"/>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ind w:left="0" w:right="0" w:firstLine="360"/>
        <w:jc w:val="both"/>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ind w:left="0" w:right="0" w:firstLine="360"/>
        <w:jc w:val="both"/>
      </w:pPr>
      <w:r>
        <w:rPr/>
        <w:t xml:space="preserve">(25) </w:t>
      </w:r>
      <w:r>
        <w:rPr>
          <w:u w:val="single"/>
        </w:rPr>
        <w:t xml:space="preserve">Bring an action or initiate an arbitration proceeding on a claim for any amounts related to a transfer of sale of a vehicle when:</w:t>
      </w:r>
    </w:p>
    <w:p>
      <w:pPr>
        <w:ind w:left="0" w:right="0" w:firstLine="360"/>
        <w:jc w:val="both"/>
      </w:pPr>
      <w:r>
        <w:rPr>
          <w:u w:val="single"/>
        </w:rPr>
        <w:t xml:space="preserve">(a) The licensee has been informed or reasonably should know that the department of licensing transfer of sale form was filed in accordance with RCW 46.12.650 (1) through (3);</w:t>
      </w:r>
    </w:p>
    <w:p>
      <w:pPr>
        <w:ind w:left="0" w:right="0" w:firstLine="360"/>
        <w:jc w:val="both"/>
      </w:pPr>
      <w:r>
        <w:rPr>
          <w:u w:val="single"/>
        </w:rPr>
        <w:t xml:space="preserve">(b) The licensee has been informed or reasonably should know that the transfer of the vehicle either (i) was not made pursuant to a legal transfer or (ii) was not voluntarily accepted by the person designated as the purchaser/transferee; and</w:t>
      </w:r>
    </w:p>
    <w:p>
      <w:pPr>
        <w:ind w:left="0" w:right="0" w:firstLine="360"/>
        <w:jc w:val="both"/>
      </w:pPr>
      <w:r>
        <w:rPr>
          <w:u w:val="single"/>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ind w:left="0" w:right="0" w:firstLine="360"/>
        <w:jc w:val="both"/>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2003 c 379 s 16 are each amended to read as follows:</w:t>
      </w:r>
    </w:p>
    <w:p>
      <w:pPr>
        <w:ind w:left="0" w:right="0" w:firstLine="360"/>
        <w:jc w:val="both"/>
      </w:pPr>
      <w:r>
        <w:rPr/>
        <w:t xml:space="preserve">This section applies to offenses committed after July 1, 1985.</w:t>
      </w:r>
    </w:p>
    <w:p>
      <w:pPr>
        <w:ind w:left="0" w:right="0" w:firstLine="360"/>
        <w:jc w:val="both"/>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should take into consideration the total amount of the restitution owed, the offender's present, past, and future ability to pay, as well as any assets that the offender may have.</w:t>
      </w:r>
    </w:p>
    <w:p>
      <w:pPr>
        <w:ind w:left="0" w:right="0" w:firstLine="360"/>
        <w:jc w:val="both"/>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ind w:left="0" w:right="0" w:firstLine="360"/>
        <w:jc w:val="both"/>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ind w:left="0" w:right="0" w:firstLine="360"/>
        <w:jc w:val="both"/>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ind w:left="0" w:right="0" w:firstLine="360"/>
        <w:jc w:val="both"/>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ind w:left="0" w:right="0" w:firstLine="360"/>
        <w:jc w:val="both"/>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ind w:left="0" w:right="0" w:firstLine="360"/>
        <w:jc w:val="both"/>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ind w:left="0" w:right="0" w:firstLine="360"/>
        <w:jc w:val="both"/>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ind w:left="0" w:right="0" w:firstLine="360"/>
        <w:jc w:val="both"/>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ind w:left="0" w:right="0" w:firstLine="360"/>
        <w:jc w:val="both"/>
      </w:pPr>
      <w:r>
        <w:rPr>
          <w:u w:val="single"/>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4421cb9da4a74f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28517bea74e00" /><Relationship Type="http://schemas.openxmlformats.org/officeDocument/2006/relationships/footer" Target="/word/footer.xml" Id="R4421cb9da4a74f23" /></Relationships>
</file>