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c6b1efc0ee45ae" /></Relationships>
</file>

<file path=word/document.xml><?xml version="1.0" encoding="utf-8"?>
<w:document xmlns:w="http://schemas.openxmlformats.org/wordprocessingml/2006/main">
  <w:body>
    <w:p>
      <w:r>
        <w:t>H-3047.1</w:t>
      </w:r>
    </w:p>
    <w:p>
      <w:pPr>
        <w:jc w:val="center"/>
      </w:pPr>
      <w:r>
        <w:t>_______________________________________________</w:t>
      </w:r>
    </w:p>
    <w:p/>
    <w:p>
      <w:pPr>
        <w:jc w:val="center"/>
      </w:pPr>
      <w:r>
        <w:rPr>
          <w:b/>
        </w:rPr>
        <w:t>HOUSE BILL 2338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Manweller, Haler, Condotta, Chandler, and Van Werven</w:t>
      </w:r>
    </w:p>
    <w:p/>
    <w:p>
      <w:r>
        <w:rPr>
          <w:t xml:space="preserve">Prefiled 01/05/16.</w:t>
        </w:rPr>
      </w:r>
      <w:r>
        <w:rPr>
          <w:t xml:space="preserve">Read first time 01/11/16.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joint legislative audit and review committee recommendations to improve claims management and efficiencies in workers' compensation; amending RCW 51.32.090;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in its report "Workers' Compensation Claims Management," concluded that the department of labor and industries could improve workers' compensation claim outcomes by improving claims management efficiencies, specifically clarifying the definition of employability. As noted in the report, most states terminate temporary total disability payments when an injured worker reaches maximum medical improvement. The legislature intends to bring Washington into parity with these states in order to achieve greater claims management efficiency.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2011 1st sp.s. c 37 s 101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w:t>
      </w:r>
      <w:r>
        <w:t>((</w:t>
      </w:r>
      <w:r>
        <w:rPr>
          <w:strike/>
        </w:rPr>
        <w:t xml:space="preserve">total disability continues</w:t>
      </w:r>
      <w:r>
        <w:t>))</w:t>
      </w:r>
      <w:r>
        <w:rPr/>
        <w:t xml:space="preserve"> </w:t>
      </w:r>
      <w:r>
        <w:rPr>
          <w:u w:val="single"/>
        </w:rPr>
        <w:t xml:space="preserve">worker has not yet reached maximum medical improvement</w:t>
      </w:r>
      <w:r>
        <w:rPr/>
        <w:t xml:space="preserve">.</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w:t>
      </w:r>
      <w:r>
        <w:t>((</w:t>
      </w:r>
      <w:r>
        <w:rPr>
          <w:strike/>
        </w:rPr>
        <w:t xml:space="preserve">As soon as recovery is so complete that the present earning power of the worker, at any kind of work, is restored to that existing at the time of the occurrence of the injury, the payments shall cease. If and so long as the present earning power is only</w:t>
      </w:r>
      <w:r>
        <w:t>))</w:t>
      </w:r>
      <w:r>
        <w:rPr/>
        <w:t xml:space="preserve"> </w:t>
      </w:r>
      <w:r>
        <w:rPr>
          <w:u w:val="single"/>
        </w:rPr>
        <w:t xml:space="preserve">If the injured worker has not yet reached maximum medical improvement, but their present earning power is</w:t>
      </w:r>
      <w:r>
        <w:rPr/>
        <w:t xml:space="preserve">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eighty percent of the actual difference between the worker's present wages and earning power at the time of injury, but: (A) The total of these payments and the worker's present wages may not exceed one hundred fifty percent of the average monthly wage in the state as computed under RCW 51.08.018; (B) the payments may not exceed one hundred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a physician or licensed advanced registered nurse practitioner as able to perform available work other than his or her usual work, the employer shall furnish to the physician or licensed advanced registered nurse practitioner, with a copy to the worker, a statement describing the work available with the employer of injury in terms that will enable the physician or licensed advanced registered nurse practitioner to relate the physical activities of the job to the worker's disability. The physician or licensed advanced registered nurse practitioner shall then determine whether the worker is physically able to perform the work described. The worker's temporary total disability payments shall continue until the worker is released by his or her physician or licensed advanced registered nurse practitioner for the work, and begins the work with the employer of injury. If the work thereafter comes to an end before the worker's recovery is sufficient in the judgment of his or her physician or licensed advanced registered nurse practitioner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physician or licensed advanced registered nurse practitioner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fifty percent of the basic, gross wages paid for that work, for a maximum of sixty-six work days within a consecutive twenty-four month period. In no event may the wage subsidies paid to an employer on a claim exceed ten thousand dollars.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one thousand dollars. Reimbursing an employer for the costs of such training or instruction does not constitute a determination by the department that the worker is eligible for vocational services authorized by RCW 51.32.095 and 51.32.099.</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four hundred dollars.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two thousand five hundred dollars.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sixty-six days of work in a consecutive twenty-four month period under one claim. An employer may continue to offer work pursuant to this subsection (4) after the worker has performed sixty-six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physician or licensed advanced registered nurse practitioner has restricted him or her from performing his or her usual work and the worker's physician or licensed advanced registered nurse practitioner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physician or licensed advanced registered nurse practitioner. An employer who directs a claimant to perform work other than that approved by the attending physician and without the approval of the worker's physician or licensed advanced registered nurse practitioner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fourteen consecutive calendar days from date of injury: PROVIDED, That attempts to return to work in the first fourteen days following the injury shall not serve to break the continuity of the period of disability if the disability continues fourteen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c>
          <w:tcPr>
            <w:tcW w:w="720" w:type="dxa"/>
            <w:vAlign w:val="top"/>
          </w:tcPr>
          <w:p>
            <w:pPr>
              <w:spacing w:before="0" w:after="0" w:line="408" w:lineRule="exact"/>
              <w:ind w:left="0" w:right="0" w:firstLine="0"/>
              <w:jc w:val="center"/>
            </w:pPr>
          </w:p>
        </w:tc>
        <w:tc>
          <w:tcPr>
            <w:tcW w:w="1640" w:type="dxa"/>
            <w:vAlign w:val="top"/>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40" w:type="dxa"/>
            <w:vAlign w:val="top"/>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Pr>
          <w:p>
            <w:pPr>
              <w:spacing w:before="0" w:after="0" w:line="408" w:lineRule="exact"/>
              <w:ind w:left="0" w:right="0" w:firstLine="0"/>
              <w:jc w:val="center"/>
            </w:pPr>
            <w:r>
              <w:rPr>
                <w:rFonts w:ascii="Times New Roman" w:hAnsi="Times New Roman"/>
                <w:sz w:val="20"/>
              </w:rPr>
              <w:t xml:space="preserve">105%</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40" w:type="dxa"/>
            <w:vAlign w:val="top"/>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Pr>
          <w:p>
            <w:pPr>
              <w:spacing w:before="0" w:after="0" w:line="408" w:lineRule="exact"/>
              <w:ind w:left="0" w:right="0" w:firstLine="0"/>
              <w:jc w:val="center"/>
            </w:pPr>
            <w:r>
              <w:rPr>
                <w:rFonts w:ascii="Times New Roman" w:hAnsi="Times New Roman"/>
                <w:sz w:val="20"/>
              </w:rPr>
              <w:t xml:space="preserve">110%</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40" w:type="dxa"/>
            <w:vAlign w:val="top"/>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Pr>
          <w:p>
            <w:pPr>
              <w:spacing w:before="0" w:after="0" w:line="408" w:lineRule="exact"/>
              <w:ind w:left="0" w:right="0" w:firstLine="0"/>
              <w:jc w:val="center"/>
            </w:pPr>
            <w:r>
              <w:rPr>
                <w:rFonts w:ascii="Times New Roman" w:hAnsi="Times New Roman"/>
                <w:sz w:val="20"/>
              </w:rPr>
              <w:t xml:space="preserve">115%</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40" w:type="dxa"/>
            <w:vAlign w:val="top"/>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Pr>
          <w:p>
            <w:pPr>
              <w:spacing w:before="0" w:after="0" w:line="408" w:lineRule="exact"/>
              <w:ind w:left="0" w:right="0" w:firstLine="0"/>
              <w:jc w:val="center"/>
            </w:pPr>
            <w:r>
              <w:rPr>
                <w:rFonts w:ascii="Times New Roman" w:hAnsi="Times New Roman"/>
                <w:sz w:val="20"/>
              </w:rPr>
              <w:t xml:space="preserve">120%</w:t>
            </w:r>
          </w:p>
        </w:tc>
        <w:tc>
          <w:tcPr>
            <w:tcW w:w="800" w:type="dxa"/>
            <w:vAlign w:val="top"/>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fifteen percent of the average monthly wage in the state as computed under RCW 51.08.018 plus an additional ten dollars per month if the worker is married and an additional ten dollars per month for each child of the worker up to a maximum of five children. However, if the monthly payment computed under this subsection (9)(b) is greater than one hundred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to injuries occurring on or after the effective date of this section.</w:t>
      </w:r>
    </w:p>
    <w:p/>
    <w:p>
      <w:pPr>
        <w:jc w:val="center"/>
      </w:pPr>
      <w:r>
        <w:rPr>
          <w:b/>
        </w:rPr>
        <w:t>--- END ---</w:t>
      </w:r>
    </w:p>
    <w:sectPr>
      <w:pgNumType w:start="1"/>
      <w:footerReference xmlns:r="http://schemas.openxmlformats.org/officeDocument/2006/relationships" r:id="Rf0875a984afa4d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f8255508d44dd7" /><Relationship Type="http://schemas.openxmlformats.org/officeDocument/2006/relationships/footer" Target="/word/footer.xml" Id="Rf0875a984afa4df0" /></Relationships>
</file>