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f629f93a645c8" /></Relationships>
</file>

<file path=word/document.xml><?xml version="1.0" encoding="utf-8"?>
<w:document xmlns:w="http://schemas.openxmlformats.org/wordprocessingml/2006/main">
  <w:body>
    <w:p>
      <w:r>
        <w:t>H-3414.1</w:t>
      </w:r>
    </w:p>
    <w:p>
      <w:pPr>
        <w:jc w:val="center"/>
      </w:pPr>
      <w:r>
        <w:t>_______________________________________________</w:t>
      </w:r>
    </w:p>
    <w:p/>
    <w:p>
      <w:pPr>
        <w:jc w:val="center"/>
      </w:pPr>
      <w:r>
        <w:rPr>
          <w:b/>
        </w:rPr>
        <w:t>HOUSE BILL 2432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Harris, Cody, Caldier, and Tarleton</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licensed veterinarians, osteopathic physicians and surgeons, and osteopathic physician assistants; amending RCW 18.57A.020 and 18.92.047; and adding a new section to chapter 18.57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To implement an impaired osteopathic practitioner program as authorized by RCW 18.130.175, the board shall enter into a contract with a voluntary substance abuse monitoring program. The impaired osteopathic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practitioners to treatment programs;</w:t>
      </w:r>
    </w:p>
    <w:p>
      <w:pPr>
        <w:spacing w:before="0" w:after="0" w:line="408" w:lineRule="exact"/>
        <w:ind w:left="0" w:right="0" w:firstLine="576"/>
        <w:jc w:val="left"/>
      </w:pPr>
      <w:r>
        <w:rPr/>
        <w:t xml:space="preserve">(e) Monitoring the treatment and rehabilitation of impaired osteopathic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osteopathic practitioner licensed under this chapter. These moneys shall be placed in the health professions account to be used solely for the implementation of the impaired osteopathic practitioner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2015 c 252 s 11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w:t>
      </w:r>
      <w:r>
        <w:t>((</w:t>
      </w:r>
      <w:r>
        <w:rPr>
          <w:strike/>
        </w:rPr>
        <w:t xml:space="preserve">twenty-five</w:t>
      </w:r>
      <w:r>
        <w:t>))</w:t>
      </w:r>
      <w:r>
        <w:rPr/>
        <w:t xml:space="preserve"> </w:t>
      </w:r>
      <w:r>
        <w:rPr>
          <w:u w:val="single"/>
        </w:rPr>
        <w:t xml:space="preserve">fifty</w:t>
      </w:r>
      <w:r>
        <w:rPr/>
        <w:t xml:space="preserve"> dollars per year </w:t>
      </w:r>
      <w:r>
        <w:t>((</w:t>
      </w:r>
      <w:r>
        <w:rPr>
          <w:strike/>
        </w:rPr>
        <w:t xml:space="preserve">may</w:t>
      </w:r>
      <w:r>
        <w:t>))</w:t>
      </w:r>
      <w:r>
        <w:rPr/>
        <w:t xml:space="preserve"> </w:t>
      </w:r>
      <w:r>
        <w:rPr>
          <w:u w:val="single"/>
        </w:rPr>
        <w:t xml:space="preserve">shall</w:t>
      </w:r>
      <w:r>
        <w:rPr/>
        <w:t xml:space="preserve"> be charged on each license renewal or issuance of a new license to be collected by the department of health </w:t>
      </w:r>
      <w:r>
        <w:rPr>
          <w:u w:val="single"/>
        </w:rPr>
        <w:t xml:space="preserve">and placed in the health professions account</w:t>
      </w:r>
      <w:r>
        <w:rPr/>
        <w:t xml:space="preserve">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1991 c 3 s 241 are each amended to read as follows:</w:t>
      </w:r>
    </w:p>
    <w:p>
      <w:pPr>
        <w:spacing w:before="0" w:after="0" w:line="408" w:lineRule="exact"/>
        <w:ind w:left="0" w:right="0" w:firstLine="576"/>
        <w:jc w:val="left"/>
      </w:pPr>
      <w:r>
        <w:rPr/>
        <w:t xml:space="preserve">(1) To implement an impaired veterinarian program as authorized by RCW 18.130.175, the veterinary board of governors shall enter into a contract with a voluntary substance abuse monitoring program. The impaired veterinarian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up to</w:t>
      </w:r>
      <w:r>
        <w:t>))</w:t>
      </w:r>
      <w:r>
        <w:rPr/>
        <w:t xml:space="preserve"> twenty-five dollars on each license issuance or renewal of a new license to be collected by the department of health from every veterinarian licensed under chapter 18.92 RCW. These moneys shall be placed in the health professions account to be used solely for the implementation of the impaired veterinarian program.</w:t>
      </w:r>
    </w:p>
    <w:p/>
    <w:p>
      <w:pPr>
        <w:jc w:val="center"/>
      </w:pPr>
      <w:r>
        <w:rPr>
          <w:b/>
        </w:rPr>
        <w:t>--- END ---</w:t>
      </w:r>
    </w:p>
    <w:sectPr>
      <w:pgNumType w:start="1"/>
      <w:footerReference xmlns:r="http://schemas.openxmlformats.org/officeDocument/2006/relationships" r:id="R0bc917d8e7bd43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478767bec4027" /><Relationship Type="http://schemas.openxmlformats.org/officeDocument/2006/relationships/footer" Target="/word/footer.xml" Id="R0bc917d8e7bd43c0" /></Relationships>
</file>