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68d73956846e6" /></Relationships>
</file>

<file path=word/document.xml><?xml version="1.0" encoding="utf-8"?>
<w:document xmlns:w="http://schemas.openxmlformats.org/wordprocessingml/2006/main">
  <w:body>
    <w:p>
      <w:r>
        <w:t>H-3257.2</w:t>
      </w:r>
    </w:p>
    <w:p>
      <w:pPr>
        <w:jc w:val="center"/>
      </w:pPr>
      <w:r>
        <w:t>_______________________________________________</w:t>
      </w:r>
    </w:p>
    <w:p/>
    <w:p>
      <w:pPr>
        <w:jc w:val="center"/>
      </w:pPr>
      <w:r>
        <w:rPr>
          <w:b/>
        </w:rPr>
        <w:t>HOUSE BILL 2475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Zeiger, Cody, Schmick, Jinkins, Tharinger, Muri, Rodne, and Kilduff</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disclosure of health care information with persons with a close relationship with a patient; amending RCW 70.02.050; and reenacting and amending RCW 70.02.230.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w:t>
      </w:r>
      <w:r>
        <w:rPr>
          <w:u w:val="single"/>
        </w:rPr>
        <w:t xml:space="preserve">, including a family member,</w:t>
      </w:r>
      <w:r>
        <w:rPr/>
        <w:t xml:space="preserve"> if the health care provider or health care facility reasonably believes that disclosure will avoid or minimize an imminent danger to the health or safety of the patient or any other individual, however there is no obligation under this chapter on the part of the provider or facility to so disclose.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 family member of the patient or any other individual with whom the patient is known to have a close personal relationship if the information and records related to mental health are directly relevant to the recipient's involvement with the patient's health care. The information related to mental health may only be disclosed if the patient is present, or otherwise available, prior to a disclosure and has the capacity to make health care decisions. The health care provider must either obtain the patient's agreement, provide the patient with the opportunity to object to the disclosure and the patient does not object, or reasonably infer from the circumstances, based on the exercise of professional judgment, that the patient does not object to the disclosure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
      <w:pPr>
        <w:jc w:val="center"/>
      </w:pPr>
      <w:r>
        <w:rPr>
          <w:b/>
        </w:rPr>
        <w:t>--- END ---</w:t>
      </w:r>
    </w:p>
    <w:sectPr>
      <w:pgNumType w:start="1"/>
      <w:footerReference xmlns:r="http://schemas.openxmlformats.org/officeDocument/2006/relationships" r:id="R626a03d682e44a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4d6db42ffe46b0" /><Relationship Type="http://schemas.openxmlformats.org/officeDocument/2006/relationships/footer" Target="/word/footer.xml" Id="R626a03d682e44a84" /></Relationships>
</file>