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7afe5821f48ed" /></Relationships>
</file>

<file path=word/document.xml><?xml version="1.0" encoding="utf-8"?>
<w:document xmlns:w="http://schemas.openxmlformats.org/wordprocessingml/2006/main">
  <w:body>
    <w:p>
      <w:r>
        <w:t>H-4280.1</w:t>
      </w:r>
    </w:p>
    <w:p>
      <w:pPr>
        <w:jc w:val="center"/>
      </w:pPr>
      <w:r>
        <w:t>_______________________________________________</w:t>
      </w:r>
    </w:p>
    <w:p/>
    <w:p>
      <w:pPr>
        <w:jc w:val="center"/>
      </w:pPr>
      <w:r>
        <w:rPr>
          <w:b/>
        </w:rPr>
        <w:t>SUBSTITUTE HOUSE BILL 2496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Kilduff, Muri, Shea, Orwall, Klippert, Hayes, Sawyer, Hansen, Rodne, Haler, Goodman, Jinkins, Kuderer, Appleton, Zeiger, Frame, Rossetti, Magendanz, Wilson, McBride, Ormsby, Bergquist, Gregerson, Sells, Stanford, and Scott; by request of Attorney General)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attorney who is licensed to practice law in this state and who renders pro bono services for the office of military and veteran legal assistance is not liable for any civil damages as a result of any act or omission by the attorney in rendering such services if the services were rendered in good faith and in a manner not amounting to gross negligence.</w:t>
      </w:r>
    </w:p>
    <w:p>
      <w:pPr>
        <w:spacing w:before="0" w:after="0" w:line="408" w:lineRule="exact"/>
        <w:ind w:left="0" w:right="0" w:firstLine="576"/>
        <w:jc w:val="left"/>
      </w:pPr>
      <w:r>
        <w:rPr/>
        <w:t xml:space="preserve">(2) The state is not liable in any civil action for any deleterious outcomes from the activities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4cf8bd440e2d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cea0732bc41fa" /><Relationship Type="http://schemas.openxmlformats.org/officeDocument/2006/relationships/footer" Target="/word/footer.xml" Id="R4cf8bd440e2d4b87" /></Relationships>
</file>