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ed3b11495644ee" /></Relationships>
</file>

<file path=word/document.xml><?xml version="1.0" encoding="utf-8"?>
<w:document xmlns:w="http://schemas.openxmlformats.org/wordprocessingml/2006/main">
  <w:body>
    <w:p>
      <w:r>
        <w:t>H-4313.5</w:t>
      </w:r>
    </w:p>
    <w:p>
      <w:pPr>
        <w:jc w:val="center"/>
      </w:pPr>
      <w:r>
        <w:t>_______________________________________________</w:t>
      </w:r>
    </w:p>
    <w:p/>
    <w:p>
      <w:pPr>
        <w:jc w:val="center"/>
      </w:pPr>
      <w:r>
        <w:rPr>
          <w:b/>
        </w:rPr>
        <w:t>SECOND SUBSTITUTE HOUSE BILL 2573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Santos, Magendanz, Kilduff, Reykdal, Rossetti, Muri, Pollet, and Hickel; by request of Superintendent of Public Instruction)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shortage of public school teachers and substitute teachers; amending RCW 28A.415.265; adding a new section to chapter 28A.300 RCW; adding a new section to chapter 41.32 RCW; adding a new section to chapter 28B.10 RCW; adding a new section to chapter 28A.330 RCW; adding a new section to chapter 28B.102 RCW; adding a new section to chapter 28B.76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an appropriation specifically provided for this purpose, the superintendent of public instruction, in consultation with school district and educational service district personnel, shall develop and implement a comprehensive, statewide initiative to increase the number of qualified individuals who apply for teaching positions in Washington. In developing and implementing the initiative, the superintendent shall:</w:t>
      </w:r>
    </w:p>
    <w:p>
      <w:pPr>
        <w:spacing w:before="0" w:after="0" w:line="408" w:lineRule="exact"/>
        <w:ind w:left="0" w:right="0" w:firstLine="576"/>
        <w:jc w:val="left"/>
      </w:pPr>
      <w:r>
        <w:rPr/>
        <w:t xml:space="preserve">(1) Include a teacher recruitment component that targets groups of individuals who may be interested in teaching in Washington public schools, such as: College students who have not chosen a major; out-of-state teachers; military personnel and their spouses; and individuals with teaching certificates who are not currently employed as teachers;</w:t>
      </w:r>
    </w:p>
    <w:p>
      <w:pPr>
        <w:spacing w:before="0" w:after="0" w:line="408" w:lineRule="exact"/>
        <w:ind w:left="0" w:right="0" w:firstLine="576"/>
        <w:jc w:val="left"/>
      </w:pPr>
      <w:r>
        <w:rPr/>
        <w:t xml:space="preserve">(2) Contract for the development of a statewide system to provide recruitment and hiring services, including a centralized hiring portal, to school districts, and a statewide central depository for applications of individuals interested in applying for certificated positions that can be accessed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w:t>
      </w:r>
    </w:p>
    <w:p>
      <w:pPr>
        <w:spacing w:before="0" w:after="0" w:line="408" w:lineRule="exact"/>
        <w:ind w:left="0" w:right="0" w:firstLine="576"/>
        <w:jc w:val="left"/>
      </w:pPr>
      <w:r>
        <w:rPr/>
        <w:t xml:space="preserve">(3)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(4) Take other actions to increase the number of qualified individuals who apply for teaching positions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create and administer the recruitment specialists grant program to provide funds to professional educator standards board-approved teacher preparation programs to hire, or contract with, recruitment specialists that focus on recruitment of individuals who are from traditionally underrepresented groups among teachers in Washington when compared to the common school population.</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that has documented a shortage of certificated substitute teachers for up to six hundred thirty hours per school year without suspension of the retiree's benefit if: (1) The retired teacher reenters employment more than one calendar month after his or her accrual date and after the effective date of this section, (2) the retired teacher is employed exclusively as a mentor to teachers or an adviser to students in professional educator standards board-approved teacher preparation programs, and (3) the retired teacher has received appropriate training as defined by the office of the superintendent of public instruction, such as national board certification or other specialized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funds separately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fiscal year 2017,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for the institutions to use in their teacher preparation program curricula.</w:t>
      </w:r>
    </w:p>
    <w:p>
      <w:pPr>
        <w:spacing w:before="0" w:after="0" w:line="408" w:lineRule="exact"/>
        <w:ind w:left="0" w:right="0" w:firstLine="576"/>
        <w:jc w:val="left"/>
      </w:pPr>
      <w:r>
        <w:rPr/>
        <w:t xml:space="preserve">(2) Once the mentor training program goals are developed as required under subsection (1) of this section, the institutions of higher education with professional educator standards board-approved teacher preparation programs are encouraged to develop and implement curricula that meet the mentor training program goals.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June 15th of each year, a school district shall report to the office of the superintendent of public instruction the number of classroom teachers the district projects will be hired in the following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Subject to an appropriation specifically provided for this purpose, the office shall develop and administer the teacher shortage conditional grant program as a subprogram within the future teachers conditional scholarship and loan repayment program. The purpose of the teacher shortage conditional grant program is to encourage individuals to become teachers by providing financial aid to individuals enrolled in professional educator standards-approved teacher preparation programs.</w:t>
      </w:r>
    </w:p>
    <w:p>
      <w:pPr>
        <w:spacing w:before="0" w:after="0" w:line="408" w:lineRule="exact"/>
        <w:ind w:left="0" w:right="0" w:firstLine="576"/>
        <w:jc w:val="left"/>
      </w:pPr>
      <w:r>
        <w:rPr/>
        <w:t xml:space="preserve">(2) The office has the power and duty to develop and adopt rules as necessary under chapter 34.05 RCW to administer the program described in this section.</w:t>
      </w:r>
    </w:p>
    <w:p>
      <w:pPr>
        <w:spacing w:before="0" w:after="0" w:line="408" w:lineRule="exact"/>
        <w:ind w:left="0" w:right="0" w:firstLine="576"/>
        <w:jc w:val="left"/>
      </w:pPr>
      <w:r>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alternate route to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t xml:space="preserve">(c) In developing the conditional grant award amounts, the office must consider whether the individual is: Enrolled in a public or private institution of higher education, a resident, in a baccalaureate or postbaccalaureate program, or in an alternate route to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alternate route to teacher certification program, be completing or about to start a student teaching residency at a Title I school, and demonstrate financial need, as defined by the office and consistent with the income criteria required to receive the state need grant established in chapter 28B.92 RCW.</w:t>
      </w:r>
    </w:p>
    <w:p>
      <w:pPr>
        <w:spacing w:before="0" w:after="0" w:line="408" w:lineRule="exact"/>
        <w:ind w:left="0" w:right="0" w:firstLine="576"/>
        <w:jc w:val="left"/>
      </w:pPr>
      <w:r>
        <w:rPr/>
        <w:t xml:space="preserve">(3) The office shall establish rules for administering the grants under this section.</w:t>
      </w:r>
    </w:p>
    <w:p/>
    <w:p>
      <w:pPr>
        <w:jc w:val="center"/>
      </w:pPr>
      <w:r>
        <w:rPr>
          <w:b/>
        </w:rPr>
        <w:t>--- END ---</w:t>
      </w:r>
    </w:p>
    <w:sectPr>
      <w:pgNumType w:start="1"/>
      <w:footerReference xmlns:r="http://schemas.openxmlformats.org/officeDocument/2006/relationships" r:id="R32f7028fdbf14d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24439dd62c4b5b" /><Relationship Type="http://schemas.openxmlformats.org/officeDocument/2006/relationships/footer" Target="/word/footer.xml" Id="R32f7028fdbf14d1b" /></Relationships>
</file>