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2ad3057e343c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Kuderer, Goodman, Johnson, Wilcox, Morris, Hudgins, MacEwen, and Wilson)</w:t>
      </w:r>
    </w:p>
    <w:p/>
    <w:p>
      <w:r>
        <w:rPr>
          <w:t xml:space="preserve">READ FIRST TIME 02/05/16.  </w:t>
        </w:rPr>
      </w:r>
    </w:p>
    <w:p>
      <w:r>
        <w:br/>
      </w:r>
    </w:p>
    <w:p>
      <w:r>
        <w:fldChar w:fldCharType="begin"/>
      </w:r>
      <w:r>
        <w:instrText xml:space="default"> ADVANCE \y328 </w:instrText>
      </w:r>
      <w:r>
        <w:fldChar w:fldCharType="end"/>
      </w:r>
    </w:p>
    <w:p>
      <w:pPr>
        <w:ind w:left="0" w:right="0" w:firstLine="360"/>
        <w:jc w:val="both"/>
      </w:pPr>
      <w:r>
        <w:rPr/>
        <w:t xml:space="preserve">AN ACT Relating to disclosure of financial, commercial, and proprietary criminal background check information of employees of private employers; and amending RCW 42.56.270.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2015 c 274 s 24 are each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w:t>
      </w:r>
      <w:r>
        <w:t>((</w:t>
      </w:r>
      <w:r>
        <w:rPr>
          <w:strike/>
        </w:rPr>
        <w:t xml:space="preserve">or</w:t>
      </w:r>
      <w:r>
        <w:t>))</w:t>
      </w:r>
      <w:r>
        <w:rPr/>
        <w:t xml:space="preserve"> (c) determining prices or rates to be charged for services, submitted by any vendor to the department of social and health services for purposes of the development, acquisition, or implementation of state purchased health care as defined in RCW 41.05.011</w:t>
      </w:r>
      <w:r>
        <w:rPr>
          <w:u w:val="single"/>
        </w:rPr>
        <w:t xml:space="preserve">; or (d) court case numbers associated with specific court case files contained in criminal background checks, and personally identifiable information associated with requests for and responses to criminal background checks, of employees of private cloud service providers </w:t>
      </w:r>
      <w:r>
        <w:rPr>
          <w:u w:val="single"/>
        </w:rPr>
        <w:t xml:space="preserve">who have entered into a criminal justice information services information agreement</w:t>
      </w:r>
      <w:r>
        <w:rPr/>
        <w:t xml:space="preserve">;</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ind w:left="0" w:right="0" w:firstLine="360"/>
        <w:jc w:val="both"/>
      </w:pPr>
      <w:r>
        <w:rPr/>
        <w:t xml:space="preserve">(21) Market share data submitted by a manufacturer under RCW 70.95N.190(4);</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 and</w:t>
      </w:r>
    </w:p>
    <w:p>
      <w:pPr>
        <w:ind w:left="0" w:right="0" w:firstLine="360"/>
        <w:jc w:val="both"/>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
      <w:pPr>
        <w:jc w:val="center"/>
      </w:pPr>
      <w:r>
        <w:rPr>
          <w:b/>
        </w:rPr>
        <w:t>--- END ---</w:t>
      </w:r>
    </w:p>
    <w:sectPr>
      <w:pgNumType w:start="1"/>
      <w:footerReference xmlns:r="http://schemas.openxmlformats.org/officeDocument/2006/relationships" r:id="Rc881601310904d5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938cbc0394a5e" /><Relationship Type="http://schemas.openxmlformats.org/officeDocument/2006/relationships/footer" Target="/word/footer.xml" Id="Rc881601310904d58" /></Relationships>
</file>