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6310c0be44417" /></Relationships>
</file>

<file path=word/document.xml><?xml version="1.0" encoding="utf-8"?>
<w:document xmlns:w="http://schemas.openxmlformats.org/wordprocessingml/2006/main">
  <w:body>
    <w:p>
      <w:r>
        <w:t>H-3589.1</w:t>
      </w:r>
    </w:p>
    <w:p>
      <w:pPr>
        <w:jc w:val="center"/>
      </w:pPr>
      <w:r>
        <w:t>_______________________________________________</w:t>
      </w:r>
    </w:p>
    <w:p/>
    <w:p>
      <w:pPr>
        <w:jc w:val="center"/>
      </w:pPr>
      <w:r>
        <w:rPr>
          <w:b/>
        </w:rPr>
        <w:t>HOUSE BILL 2607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Muri, McCaslin, Griffey, Stambaugh, Harris, Haler, Stokesbary, and Zeiger</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integrated student services and family engagement; amending RCW 28A.165.035, 28A.165.055, and 28A.300.130;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integrate the delivery of various academic and nonacademic programs and services through a single protocol. This coordination and consolidation of assorted services, such as expanded learning opportunities, mental health, medical screening, and access to food and housing, is intended to reduce barriers to academic achievement and educational attainment by weaving together existing public and private resources needed to support student success in school.</w:t>
      </w:r>
    </w:p>
    <w:p>
      <w:pPr>
        <w:spacing w:before="0" w:after="0" w:line="408" w:lineRule="exact"/>
        <w:ind w:left="0" w:right="0" w:firstLine="576"/>
        <w:jc w:val="left"/>
      </w:pPr>
      <w:r>
        <w:rPr/>
        <w:t xml:space="preserve">(2) The office of the superintendent of public instruction shall create a work group to determine how to best implement the framework described in section 1 of this act throughout the state.</w:t>
      </w:r>
    </w:p>
    <w:p>
      <w:pPr>
        <w:spacing w:before="0" w:after="0" w:line="408" w:lineRule="exact"/>
        <w:ind w:left="0" w:right="0" w:firstLine="576"/>
        <w:jc w:val="left"/>
      </w:pPr>
      <w:r>
        <w:rPr/>
        <w:t xml:space="preserve">(3) The work group must be composed of the following members, who must reflect the geographic diversity across the state:</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principals and three superintendents representing districts with diverse characteristics, selected by state associations of principals and superintendents, respectively;</w:t>
      </w:r>
    </w:p>
    <w:p>
      <w:pPr>
        <w:spacing w:before="0" w:after="0" w:line="408" w:lineRule="exact"/>
        <w:ind w:left="0" w:right="0" w:firstLine="576"/>
        <w:jc w:val="left"/>
      </w:pPr>
      <w:r>
        <w:rPr/>
        <w:t xml:space="preserve">(c) A representative from a statewide organization specializing in out-of-school learning;</w:t>
      </w:r>
    </w:p>
    <w:p>
      <w:pPr>
        <w:spacing w:before="0" w:after="0" w:line="408" w:lineRule="exact"/>
        <w:ind w:left="0" w:right="0" w:firstLine="576"/>
        <w:jc w:val="left"/>
      </w:pPr>
      <w:r>
        <w:rPr/>
        <w:t xml:space="preserve">(d) A representative from an organization with expertise in the needs of homeless students;</w:t>
      </w:r>
    </w:p>
    <w:p>
      <w:pPr>
        <w:spacing w:before="0" w:after="0" w:line="408" w:lineRule="exact"/>
        <w:ind w:left="0" w:right="0" w:firstLine="576"/>
        <w:jc w:val="left"/>
      </w:pPr>
      <w:r>
        <w:rPr/>
        <w:t xml:space="preserve">(e) A school counselor from an elementary school, a middle school, and a high school, selected by a state association of school counselors;</w:t>
      </w:r>
    </w:p>
    <w:p>
      <w:pPr>
        <w:spacing w:before="0" w:after="0" w:line="408" w:lineRule="exact"/>
        <w:ind w:left="0" w:right="0" w:firstLine="576"/>
        <w:jc w:val="left"/>
      </w:pPr>
      <w:r>
        <w:rPr/>
        <w:t xml:space="preserve">(f) A representative of an organization that is an expert on a multitiered system of supports; and</w:t>
      </w:r>
    </w:p>
    <w:p>
      <w:pPr>
        <w:spacing w:before="0" w:after="0" w:line="408" w:lineRule="exact"/>
        <w:ind w:left="0" w:right="0" w:firstLine="576"/>
        <w:jc w:val="left"/>
      </w:pPr>
      <w:r>
        <w:rPr/>
        <w:t xml:space="preserve">(g) A representative from a career and technical student organization.</w:t>
      </w:r>
    </w:p>
    <w:p>
      <w:pPr>
        <w:spacing w:before="0" w:after="0" w:line="408" w:lineRule="exact"/>
        <w:ind w:left="0" w:right="0" w:firstLine="576"/>
        <w:jc w:val="left"/>
      </w:pPr>
      <w:r>
        <w:rPr/>
        <w:t xml:space="preserve">(4) The superintendent of public instruction shall consult and may contract for services with a national nonpartisan, nonprofit research center that has provided data and analyses to improve policies and programs serving children and youth for over thirty-five years.</w:t>
      </w:r>
    </w:p>
    <w:p>
      <w:pPr>
        <w:spacing w:before="0" w:after="0" w:line="408" w:lineRule="exact"/>
        <w:ind w:left="0" w:right="0" w:firstLine="576"/>
        <w:jc w:val="left"/>
      </w:pPr>
      <w:r>
        <w:rPr/>
        <w:t xml:space="preserve">(5) The work group must submit to the appropriate committees of the legislature a report recommending policies that need to be adopted or revised to implement the framework described in section 1 of this act throughout the state by October 1, 2017. The work group must submit a preliminary report by October 1, 2016, and a final report by October 1, 2017.</w:t>
      </w:r>
    </w:p>
    <w:p>
      <w:pPr>
        <w:spacing w:before="0" w:after="0" w:line="408" w:lineRule="exact"/>
        <w:ind w:left="0" w:right="0" w:firstLine="576"/>
        <w:jc w:val="left"/>
      </w:pPr>
      <w:r>
        <w:rPr/>
        <w:t xml:space="preserve">(6) This section expires August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w:t>
      </w:r>
      <w:r>
        <w:t>((</w:t>
      </w:r>
      <w:r>
        <w:rPr>
          <w:strike/>
        </w:rPr>
        <w:t xml:space="preserve">Beginning in the 2015-16 school year, expenditure of funds from the learning assistance program must be consistent with the provisions of RCW 28A.655.235.</w:t>
      </w:r>
    </w:p>
    <w:p>
      <w:pPr>
        <w:spacing w:before="0" w:after="0" w:line="408" w:lineRule="exact"/>
        <w:ind w:left="0" w:right="0" w:firstLine="576"/>
        <w:jc w:val="left"/>
      </w:pPr>
      <w:r>
        <w:rPr>
          <w:strike/>
        </w:rPr>
        <w:t xml:space="preserve">(2)</w:t>
      </w:r>
      <w:r>
        <w:t>))</w:t>
      </w:r>
      <w:r>
        <w:rPr/>
        <w:t xml:space="preserve">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The integrated student supports protocol and services under
section 1 of this act;</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w:t>
      </w:r>
      <w:r>
        <w:t>((</w:t>
      </w:r>
      <w:r>
        <w:rPr>
          <w:strike/>
        </w:rPr>
        <w:t xml:space="preserve">office of the superintendent of public instruction</w:t>
      </w:r>
      <w:r>
        <w:t>))</w:t>
      </w:r>
      <w:r>
        <w:rPr/>
        <w:t xml:space="preserve"> </w:t>
      </w:r>
      <w:r>
        <w:rPr>
          <w:u w:val="single"/>
        </w:rPr>
        <w:t xml:space="preserve">school board</w:t>
      </w:r>
      <w:r>
        <w:rPr/>
        <w:t xml:space="preserve"> must approve </w:t>
      </w:r>
      <w:r>
        <w:rPr>
          <w:u w:val="single"/>
        </w:rPr>
        <w:t xml:space="preserve">in an open meeting</w:t>
      </w:r>
      <w:r>
        <w:rPr/>
        <w:t xml:space="preserve"> any community-based organization or local agency before learning assistance funds may be expended.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Beginning in the 2016-17 school year, except as provided in (b) of this subsection, school districts must use a practice or strategy that is on a state menu developed under subsection </w:t>
      </w:r>
      <w:r>
        <w:t>((</w:t>
      </w:r>
      <w:r>
        <w:rPr>
          <w:strike/>
        </w:rPr>
        <w:t xml:space="preserve">(3)</w:t>
      </w:r>
      <w:r>
        <w:t>))</w:t>
      </w:r>
      <w:r>
        <w:rPr/>
        <w:t xml:space="preserve"> </w:t>
      </w:r>
      <w:r>
        <w:rPr>
          <w:u w:val="single"/>
        </w:rPr>
        <w:t xml:space="preserve">(2)</w:t>
      </w:r>
      <w:r>
        <w:rPr/>
        <w:t xml:space="preserve">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w:t>
      </w:r>
      <w:r>
        <w:t>((</w:t>
      </w:r>
      <w:r>
        <w:rPr>
          <w:strike/>
        </w:rPr>
        <w:t xml:space="preserve">(3)</w:t>
      </w:r>
      <w:r>
        <w:t>))</w:t>
      </w:r>
      <w:r>
        <w:rPr/>
        <w:t xml:space="preserve"> </w:t>
      </w:r>
      <w:r>
        <w:rPr>
          <w:u w:val="single"/>
        </w:rPr>
        <w:t xml:space="preserve">(2)</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The funds for the learning assistance program shall be appropriated in accordance with RCW 28A.150.260 and the omnibus appropriations act. The distribution formula is for school district allocation purposes only, but funds appropriated for the learning assistance program must be expended for the purposes of RCW 28A.165.005 through 28A.165.065 and 28A.655.235. </w:t>
      </w:r>
      <w:r>
        <w:rPr>
          <w:u w:val="single"/>
        </w:rPr>
        <w:t xml:space="preserve">The funds may also be appropriated for the integrated student supports protocol and services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2009 c 578 s 6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to the extent funds are appropriated,</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w:t>
      </w:r>
      <w:r>
        <w:t>((</w:t>
      </w:r>
      <w:r>
        <w:rPr>
          <w:strike/>
        </w:rPr>
        <w:t xml:space="preserve">, to the extent funds are appropriated for this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w:t>
      </w:r>
      <w:r>
        <w:t>((</w:t>
      </w:r>
      <w:r>
        <w:rPr>
          <w:strike/>
        </w:rPr>
        <w:t xml:space="preserve">electronic mail</w:t>
      </w:r>
      <w:r>
        <w:t>))</w:t>
      </w:r>
      <w:r>
        <w:rPr/>
        <w:t xml:space="preserve"> </w:t>
      </w:r>
      <w:r>
        <w:rPr>
          <w:u w:val="single"/>
        </w:rPr>
        <w:t xml:space="preserve">email</w:t>
      </w:r>
      <w:r>
        <w:rPr/>
        <w:t xml:space="preserve">,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
      <w:pPr>
        <w:jc w:val="center"/>
      </w:pPr>
      <w:r>
        <w:rPr>
          <w:b/>
        </w:rPr>
        <w:t>--- END ---</w:t>
      </w:r>
    </w:p>
    <w:sectPr>
      <w:pgNumType w:start="1"/>
      <w:footerReference xmlns:r="http://schemas.openxmlformats.org/officeDocument/2006/relationships" r:id="R23c6d47de50247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905538afc4872" /><Relationship Type="http://schemas.openxmlformats.org/officeDocument/2006/relationships/footer" Target="/word/footer.xml" Id="R23c6d47de5024745" /></Relationships>
</file>