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375e92c354834" /></Relationships>
</file>

<file path=word/document.xml><?xml version="1.0" encoding="utf-8"?>
<w:document xmlns:w="http://schemas.openxmlformats.org/wordprocessingml/2006/main">
  <w:body>
    <w:p>
      <w:r>
        <w:t>H-3196.3</w:t>
      </w:r>
    </w:p>
    <w:p>
      <w:pPr>
        <w:jc w:val="center"/>
      </w:pPr>
      <w:r>
        <w:t>_______________________________________________</w:t>
      </w:r>
    </w:p>
    <w:p/>
    <w:p>
      <w:pPr>
        <w:jc w:val="center"/>
      </w:pPr>
      <w:r>
        <w:rPr>
          <w:b/>
        </w:rPr>
        <w:t>HOUSE BILL 2688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Pettigrew and Santos</w:t>
      </w:r>
    </w:p>
    <w:p/>
    <w:p>
      <w:r>
        <w:rPr>
          <w:t xml:space="preserve">Read first time 01/18/16.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to impose a temporary property tax increase to fund historic building rehabilitation; and amending RCW 84.55.050.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must</w:t>
      </w:r>
      <w:r>
        <w:rPr/>
        <w:t xml:space="preserve">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 the period for which the increased levies are made </w:t>
      </w:r>
      <w:r>
        <w:t>((</w:t>
      </w:r>
      <w:r>
        <w:rPr>
          <w:strike/>
        </w:rPr>
        <w:t xml:space="preserve">shall</w:t>
      </w:r>
      <w:r>
        <w:t>))</w:t>
      </w:r>
      <w:r>
        <w:rPr/>
        <w:t xml:space="preserve"> </w:t>
      </w:r>
      <w:r>
        <w:rPr>
          <w:u w:val="single"/>
        </w:rPr>
        <w:t xml:space="preserve">may</w:t>
      </w:r>
      <w:r>
        <w:rPr/>
        <w:t xml:space="preserve">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0" w:after="0" w:line="408" w:lineRule="exact"/>
        <w:ind w:left="0" w:right="0" w:firstLine="576"/>
        <w:jc w:val="left"/>
      </w:pPr>
      <w:r>
        <w:rPr>
          <w:u w:val="single"/>
        </w:rPr>
        <w:t xml:space="preserve">(6)(a) Subject to any otherwise applicable statutory dollar rate limitations, the legislative authority of any city may impose regular property taxes in an amount exceeding the limitations provided for in this chapter. The increased levy under this subsection (6) does not require voter approval. The provisions of subsections (1) through (5) of this section do not apply to an increased levy made under this subsection (6).</w:t>
      </w:r>
    </w:p>
    <w:p>
      <w:pPr>
        <w:spacing w:before="0" w:after="0" w:line="408" w:lineRule="exact"/>
        <w:ind w:left="0" w:right="0" w:firstLine="576"/>
        <w:jc w:val="left"/>
      </w:pPr>
      <w:r>
        <w:rPr>
          <w:u w:val="single"/>
        </w:rPr>
        <w:t xml:space="preserve">(b) The period for which the increased levy is to be made under this subsection (6) may not exceed ten years.</w:t>
      </w:r>
    </w:p>
    <w:p>
      <w:pPr>
        <w:spacing w:before="0" w:after="0" w:line="408" w:lineRule="exact"/>
        <w:ind w:left="0" w:right="0" w:firstLine="576"/>
        <w:jc w:val="left"/>
      </w:pPr>
      <w:r>
        <w:rPr>
          <w:u w:val="single"/>
        </w:rPr>
        <w:t xml:space="preserve">(c) During the years in which increased levies are made under this subsection (6), annual increases in such levies must be made in accordance with the general limitations of this chapter.</w:t>
      </w:r>
    </w:p>
    <w:p>
      <w:pPr>
        <w:spacing w:before="0" w:after="0" w:line="408" w:lineRule="exact"/>
        <w:ind w:left="0" w:right="0" w:firstLine="576"/>
        <w:jc w:val="left"/>
      </w:pPr>
      <w:r>
        <w:rPr>
          <w:u w:val="single"/>
        </w:rPr>
        <w:t xml:space="preserve">(d) At the conclusion of the increased levy period under (b) of this subsection (6), subsequent levies must be computed as if:</w:t>
      </w:r>
    </w:p>
    <w:p>
      <w:pPr>
        <w:spacing w:before="0" w:after="0" w:line="408" w:lineRule="exact"/>
        <w:ind w:left="0" w:right="0" w:firstLine="576"/>
        <w:jc w:val="left"/>
      </w:pPr>
      <w:r>
        <w:rPr>
          <w:u w:val="single"/>
        </w:rPr>
        <w:t xml:space="preserve">(i) The increased levy authorized under this subsection (6) had not been imposed; and</w:t>
      </w:r>
    </w:p>
    <w:p>
      <w:pPr>
        <w:spacing w:before="0" w:after="0" w:line="408" w:lineRule="exact"/>
        <w:ind w:left="0" w:right="0" w:firstLine="576"/>
        <w:jc w:val="left"/>
      </w:pPr>
      <w:r>
        <w:rPr>
          <w:u w:val="single"/>
        </w:rPr>
        <w:t xml:space="preserve">(ii) The city had made levies at the maximum rates which would otherwise have been allowed under this chapter during the years increased levies were made under this subsection (6).</w:t>
      </w:r>
    </w:p>
    <w:p>
      <w:pPr>
        <w:spacing w:before="0" w:after="0" w:line="408" w:lineRule="exact"/>
        <w:ind w:left="0" w:right="0" w:firstLine="576"/>
        <w:jc w:val="left"/>
      </w:pPr>
      <w:r>
        <w:rPr>
          <w:u w:val="single"/>
        </w:rPr>
        <w:t xml:space="preserve">(e) A city increasing its levy under this subsection (6) must use the additional funds exclusively for the rehabilitation of historic buildings where there is a finding by the appropriate city official that designated buildings pose a significant risk to the public safety in the event of an earthquake.</w:t>
      </w:r>
    </w:p>
    <w:p>
      <w:pPr>
        <w:spacing w:before="0" w:after="0" w:line="408" w:lineRule="exact"/>
        <w:ind w:left="0" w:right="0" w:firstLine="576"/>
        <w:jc w:val="left"/>
      </w:pPr>
      <w:r>
        <w:rPr>
          <w:u w:val="single"/>
        </w:rPr>
        <w:t xml:space="preserve">(f) The maximum amount of funds that can be collected under this subsection (6) may not exceed the estimated cost of historic building rehabilitation expenditures within the city.</w:t>
      </w:r>
    </w:p>
    <w:p/>
    <w:p>
      <w:pPr>
        <w:jc w:val="center"/>
      </w:pPr>
      <w:r>
        <w:rPr>
          <w:b/>
        </w:rPr>
        <w:t>--- END ---</w:t>
      </w:r>
    </w:p>
    <w:sectPr>
      <w:pgNumType w:start="1"/>
      <w:footerReference xmlns:r="http://schemas.openxmlformats.org/officeDocument/2006/relationships" r:id="Rc5342e0c79e145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70ff024474c05" /><Relationship Type="http://schemas.openxmlformats.org/officeDocument/2006/relationships/footer" Target="/word/footer.xml" Id="Rc5342e0c79e1451d" /></Relationships>
</file>