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110b4190148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Klippert, Orwall, Hayes, Kuderer, Pettigrew, Muri, Ortiz-Self,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36.28A.320, 46.01.260, 46.64.025, 46.20.291, 46.20.289, 9.94A.533, 46.61.506, 10.01.230, 10.05.140, 46.20.311, 46.20.385, 46.20.720, 46.20.308, 10.21.055, 46.61.5055, 46.20.3101, and 36.28A.390; reenacting and amending RCW 43.79A.040 and 10.31.100; repealing RCW 36.28A.310;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r>
        <w:t>))</w:t>
      </w:r>
      <w:r>
        <w:rPr/>
        <w:t xml:space="preserve"> </w:t>
      </w:r>
      <w:r>
        <w:rPr>
          <w:u w:val="single"/>
        </w:rPr>
        <w:t xml:space="preserve">After fifteen years from the date of conviction or adjudication, the director shall destroy all records of the conviction if the offense was originally charged as one of the offenses designated in (a) of this subsection and the court entered written findings of fact and conclusions of law holding that the person was not intoxicated by liquor, marijuana, or a controlled substance under chapter 69.50 RCW unless the person had a valid prescription for such drug.</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p>
    <w:p/>
    <w:p>
      <w:pPr>
        <w:jc w:val="center"/>
      </w:pPr>
      <w:r>
        <w:rPr>
          <w:b/>
        </w:rPr>
        <w:t>--- END ---</w:t>
      </w:r>
    </w:p>
    <w:sectPr>
      <w:pgNumType w:start="1"/>
      <w:footerReference xmlns:r="http://schemas.openxmlformats.org/officeDocument/2006/relationships" r:id="Rc5923745b3a144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eb181a6bc4903" /><Relationship Type="http://schemas.openxmlformats.org/officeDocument/2006/relationships/footer" Target="/word/footer.xml" Id="Rc5923745b3a14484" /></Relationships>
</file>