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5f30e23374400" /></Relationships>
</file>

<file path=word/document.xml><?xml version="1.0" encoding="utf-8"?>
<w:document xmlns:w="http://schemas.openxmlformats.org/wordprocessingml/2006/main">
  <w:body>
    <w:p>
      <w:r>
        <w:t>H-4373.1</w:t>
      </w:r>
    </w:p>
    <w:p>
      <w:pPr>
        <w:jc w:val="center"/>
      </w:pPr>
      <w:r>
        <w:t>_______________________________________________</w:t>
      </w:r>
    </w:p>
    <w:p/>
    <w:p>
      <w:pPr>
        <w:jc w:val="center"/>
      </w:pPr>
      <w:r>
        <w:rPr>
          <w:b/>
        </w:rPr>
        <w:t>SECOND SUBSTITUTE HOUSE BILL 2726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Walkinshaw, Tharinger, Senn, Cody, Ortiz-Self, Magendanz, and Goodman)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continuing care retirement communities;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refundable deposit to reserve a unit, excluding applicable administrative fees.</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or entity must be registered by the department under this chapter prior to:</w:t>
      </w:r>
    </w:p>
    <w:p>
      <w:pPr>
        <w:spacing w:before="0" w:after="0" w:line="408" w:lineRule="exact"/>
        <w:ind w:left="0" w:right="0" w:firstLine="576"/>
        <w:jc w:val="left"/>
      </w:pPr>
      <w:r>
        <w:rPr/>
        <w:t xml:space="preserve">(1) Operating a continuing care retirement community;</w:t>
      </w:r>
    </w:p>
    <w:p>
      <w:pPr>
        <w:spacing w:before="0" w:after="0" w:line="408" w:lineRule="exact"/>
        <w:ind w:left="0" w:right="0" w:firstLine="576"/>
        <w:jc w:val="left"/>
      </w:pPr>
      <w:r>
        <w:rPr/>
        <w:t xml:space="preserve">(2) Entering into a residency agreement with a prospective resident;</w:t>
      </w:r>
    </w:p>
    <w:p>
      <w:pPr>
        <w:spacing w:before="0" w:after="0" w:line="408" w:lineRule="exact"/>
        <w:ind w:left="0" w:right="0" w:firstLine="576"/>
        <w:jc w:val="left"/>
      </w:pPr>
      <w:r>
        <w:rPr/>
        <w:t xml:space="preserve">(3) Soliciting a prospective resident to pay an application fee or executing a residency agreement; or</w:t>
      </w:r>
    </w:p>
    <w:p>
      <w:pPr>
        <w:spacing w:before="0" w:after="0" w:line="408" w:lineRule="exact"/>
        <w:ind w:left="0" w:right="0" w:firstLine="576"/>
        <w:jc w:val="left"/>
      </w:pPr>
      <w:r>
        <w:rPr/>
        <w:t xml:space="preserve">(4) Collecting an entrance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residency agreements that the continuing care retirement community intends to use for the certification period;</w:t>
      </w:r>
    </w:p>
    <w:p>
      <w:pPr>
        <w:spacing w:before="0" w:after="0" w:line="408" w:lineRule="exact"/>
        <w:ind w:left="0" w:right="0" w:firstLine="576"/>
        <w:jc w:val="left"/>
      </w:pPr>
      <w:r>
        <w:rPr/>
        <w:t xml:space="preserve">(d) A copy of the disclosure statement that includes current information required by section 6 of this act;</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section 6 of this act; and</w:t>
      </w:r>
    </w:p>
    <w:p>
      <w:pPr>
        <w:spacing w:before="0" w:after="0" w:line="408" w:lineRule="exact"/>
        <w:ind w:left="0" w:right="0" w:firstLine="576"/>
        <w:jc w:val="left"/>
      </w:pPr>
      <w:r>
        <w:rPr/>
        <w:t xml:space="preserve">(g) Payment of any registration fees associated with the department's cost of registering continuing care retirement communities.</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rPr/>
        <w:t xml:space="preserve">(6) Materials submitted pursuant to this section are not subject to disclosure under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w:t>
      </w:r>
    </w:p>
    <w:p>
      <w:pPr>
        <w:spacing w:before="0" w:after="0" w:line="408" w:lineRule="exact"/>
        <w:ind w:left="0" w:right="0" w:firstLine="576"/>
        <w:jc w:val="left"/>
      </w:pPr>
      <w:r>
        <w:rPr/>
        <w:t xml:space="preserve">(a) Register an entity that submits a complete application that includes all of the materials required in section 3 of this act;</w:t>
      </w:r>
    </w:p>
    <w:p>
      <w:pPr>
        <w:spacing w:before="0" w:after="0" w:line="408" w:lineRule="exact"/>
        <w:ind w:left="0" w:right="0" w:firstLine="576"/>
        <w:jc w:val="left"/>
      </w:pPr>
      <w:r>
        <w:rPr/>
        <w:t xml:space="preserve">(b) Review the disclosure statements submitted by applicants for an initial or renewal registration to operate a continuing care retirement community for completeness;</w:t>
      </w:r>
    </w:p>
    <w:p>
      <w:pPr>
        <w:spacing w:before="0" w:after="0" w:line="408" w:lineRule="exact"/>
        <w:ind w:left="0" w:right="0" w:firstLine="576"/>
        <w:jc w:val="left"/>
      </w:pPr>
      <w:r>
        <w:rPr/>
        <w:t xml:space="preserve">(c) Establish and collect a fee that is sufficient to cover the department's costs associated with administering the requirements of this chapter; and</w:t>
      </w:r>
    </w:p>
    <w:p>
      <w:pPr>
        <w:spacing w:before="0" w:after="0" w:line="408" w:lineRule="exact"/>
        <w:ind w:left="0" w:right="0" w:firstLine="576"/>
        <w:jc w:val="left"/>
      </w:pPr>
      <w:r>
        <w:rPr/>
        <w:t xml:space="preserve">(d) Create and maintain an online listing that is readily available to the public of the names and addresses of continuing care retirement communities that are registered with the department.</w:t>
      </w:r>
    </w:p>
    <w:p>
      <w:pPr>
        <w:spacing w:before="0" w:after="0" w:line="408" w:lineRule="exact"/>
        <w:ind w:left="0" w:right="0" w:firstLine="576"/>
        <w:jc w:val="left"/>
      </w:pPr>
      <w:r>
        <w:rPr/>
        <w:t xml:space="preserve">(2) The department's registration activities consist of reviewing an application for completeness and do not signify that the department has otherwise issued a certification or license to the continuing care retirement community or any of its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entity that is not registered with the department may not represent itself, or refer to itself in advertising and marketing materials as a "registered continuing care retirement community" or "continuing care retirement community," as defined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and</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eighteen months prior to the date that the continuing care retirement community applied for its current registration;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(2) The disclosure statement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 most recently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 organizations and associations;</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and</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and</w:t>
      </w:r>
    </w:p>
    <w:p>
      <w:pPr>
        <w:spacing w:before="0" w:after="0" w:line="408" w:lineRule="exact"/>
        <w:ind w:left="0" w:right="0" w:firstLine="576"/>
        <w:jc w:val="left"/>
      </w:pPr>
      <w:r>
        <w:rPr/>
        <w:t xml:space="preserve">(b) Make copies of the expectations specified in this section publicly available in areas accessible to the independent residents and visitors. The copies of the expectations must also state that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violation of the title protection requirements of section 5 of this act, the failure of a continuing care retirement community to register with the department under section 2 of this act, the failure of a continuing care retirement community to comply with the disclosure statement delivery and content requirements under section 6 of this act, and the failure of a continuing care retirement community to comply with the resident expectations established under section 7 of this act are matters vitally affecting the public interest for the purpose of applying the consumer protection act, chapter 19.86 RCW. A violation of the title protection requirements under section 5 of this act, registration requirement under section 2 of this act, the disclosure statement delivery and content requirements under section 6 of this act, and the resident expectations requirements under section 7 of this act are not reasonable in relation to the development and preservation of business and are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provide notice to the management of the continuing care retirement community of submitted complaints including the name of the complainant to allow the community to take corrective action. Except for violations of the title protection requirements of section 5 of this act and the failure of a continuing care retirement community to register with the department under section 2 of this act, the attorney general shall limit its application of the consumer protection act in subsection (1) of this section to those cases in which a pattern of complaints, submitted by affected parties, or other activity that, when considered together, demonstrate a pattern of similar conduct that, without enforcement, likely establishes an unfair or deceptive act in trade or commerce and an unfair method of competition.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w:t>
      </w:r>
    </w:p>
    <w:p>
      <w:pPr>
        <w:spacing w:before="0" w:after="0" w:line="408" w:lineRule="exact"/>
        <w:ind w:left="0" w:right="0" w:firstLine="576"/>
        <w:jc w:val="left"/>
      </w:pPr>
      <w:r>
        <w:rPr/>
        <w:t xml:space="preserve">(1) Affects any of the requirements and standards associated with a license to operate an assisted living facility under chapter 18.20 RCW or a nursing home under chapter 18.51 RCW; and</w:t>
      </w:r>
    </w:p>
    <w:p>
      <w:pPr>
        <w:spacing w:before="0" w:after="0" w:line="408" w:lineRule="exact"/>
        <w:ind w:left="0" w:right="0" w:firstLine="576"/>
        <w:jc w:val="left"/>
      </w:pPr>
      <w:r>
        <w:rPr/>
        <w:t xml:space="preserve">(2) Applies to any of the provisions of chapter 74.46 or 70.38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prospectively to acts and omissions that occur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4e113e901b0146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7cc60e74a546d5" /><Relationship Type="http://schemas.openxmlformats.org/officeDocument/2006/relationships/footer" Target="/word/footer.xml" Id="R4e113e901b0146a1" /></Relationships>
</file>