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8dd4a39994417" /></Relationships>
</file>

<file path=word/document.xml><?xml version="1.0" encoding="utf-8"?>
<w:document xmlns:w="http://schemas.openxmlformats.org/wordprocessingml/2006/main">
  <w:body>
    <w:p>
      <w:r>
        <w:t>H-3064.2</w:t>
      </w:r>
    </w:p>
    <w:p>
      <w:pPr>
        <w:jc w:val="center"/>
      </w:pPr>
      <w:r>
        <w:t>_______________________________________________</w:t>
      </w:r>
    </w:p>
    <w:p/>
    <w:p>
      <w:pPr>
        <w:jc w:val="center"/>
      </w:pPr>
      <w:r>
        <w:rPr>
          <w:b/>
        </w:rPr>
        <w:t>HOUSE BILL 2753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 Hunt, Young, Taylor, Shea, and Scott</w:t>
      </w:r>
    </w:p>
    <w:p/>
    <w:p>
      <w:r>
        <w:rPr>
          <w:t xml:space="preserve">Read first time 01/20/16.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secrecy flaps for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 </w:t>
      </w:r>
      <w:r>
        <w:rPr>
          <w:u w:val="single"/>
        </w:rPr>
        <w:t xml:space="preserve">Starting with the 2016 general election ballot materials, the return envelope provided by the county auditor must include a secrecy flap that the voter may seal to cover the voter's signature and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
      <w:pPr>
        <w:jc w:val="center"/>
      </w:pPr>
      <w:r>
        <w:rPr>
          <w:b/>
        </w:rPr>
        <w:t>--- END ---</w:t>
      </w:r>
    </w:p>
    <w:sectPr>
      <w:pgNumType w:start="1"/>
      <w:footerReference xmlns:r="http://schemas.openxmlformats.org/officeDocument/2006/relationships" r:id="Rb94e1a5dfa1343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a2cbd5b114fd4" /><Relationship Type="http://schemas.openxmlformats.org/officeDocument/2006/relationships/footer" Target="/word/footer.xml" Id="Rb94e1a5dfa134319" /></Relationships>
</file>