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3d30dd502c43c0" /></Relationships>
</file>

<file path=word/document.xml><?xml version="1.0" encoding="utf-8"?>
<w:document xmlns:w="http://schemas.openxmlformats.org/wordprocessingml/2006/main">
  <w:body>
    <w:p>
      <w:r>
        <w:t>H-4333.1</w:t>
      </w:r>
    </w:p>
    <w:p>
      <w:pPr>
        <w:jc w:val="center"/>
      </w:pPr>
      <w:r>
        <w:t>_______________________________________________</w:t>
      </w:r>
    </w:p>
    <w:p/>
    <w:p>
      <w:pPr>
        <w:jc w:val="center"/>
      </w:pPr>
      <w:r>
        <w:rPr>
          <w:b/>
        </w:rPr>
        <w:t>SECOND SUBSTITUTE HOUSE BILL 2799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McBride, Robinson, Zeiger, Ormsby, Gregerson, Orwall, Goodman, Tharinger, Tarleton, and Appleton)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manufactured/mobile home communities; amending RCW 59.20.030 and 82.45.010;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to involve manufactured/mobile home community tenants or an eligible organization, such as a nonprofit organization, housing authority, community land trust, or local government, in the preservation of manufactured/mobile home communities.</w:t>
      </w:r>
    </w:p>
    <w:p>
      <w:pPr>
        <w:spacing w:before="0" w:after="0" w:line="408" w:lineRule="exact"/>
        <w:ind w:left="0" w:right="0" w:firstLine="576"/>
        <w:jc w:val="left"/>
      </w:pPr>
      <w:r>
        <w:rPr/>
        <w:t xml:space="preserve">(3) This subsection is the tax preference performance statement for the tax preference in section 7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(4) The legislature categorizes this tax preference as one intended to provide individual tax relief, as indicated in RCW 82.32.808(2)(e).</w:t>
      </w:r>
    </w:p>
    <w:p>
      <w:pPr>
        <w:spacing w:before="0" w:after="0" w:line="408" w:lineRule="exact"/>
        <w:ind w:left="0" w:right="0" w:firstLine="576"/>
        <w:jc w:val="left"/>
      </w:pPr>
      <w:r>
        <w:rPr/>
        <w:t xml:space="preserve">(5) It is the legislature's specific public policy objective to extend the real estate excise tax exemption for qualified sales of a manufactured/mobile home community.</w:t>
      </w:r>
    </w:p>
    <w:p>
      <w:pPr>
        <w:spacing w:before="0" w:after="0" w:line="408" w:lineRule="exact"/>
        <w:ind w:left="0" w:right="0" w:firstLine="576"/>
        <w:jc w:val="left"/>
      </w:pPr>
      <w:r>
        <w:rPr/>
        <w:t xml:space="preserve">(6) The joint legislative audit and review committee is not required to assess the effectiveness of the tax preference in section 7, in achieving the intent and specific public policy objective stated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"Notice of opportunity to purchase" means a notice required under section 3 of this act to be delivered to all specified parties within two days after the date on which a landlord receives any offer to purchase his or her manufactured/mobile home community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 written notice of opportunity to purchase a manufactured/mobile home community by certified mail or personal delivery to all eligible organizations on the list maintained by the department of commerce pursuant to section 5 of this act.</w:t>
      </w:r>
    </w:p>
    <w:p>
      <w:pPr>
        <w:spacing w:before="0" w:after="0" w:line="408" w:lineRule="exact"/>
        <w:ind w:left="0" w:right="0" w:firstLine="576"/>
        <w:jc w:val="left"/>
      </w:pPr>
      <w:r>
        <w:rPr/>
        <w:t xml:space="preserve">(2) A notice of opportunity to purchase must include:</w:t>
      </w:r>
    </w:p>
    <w:p>
      <w:pPr>
        <w:spacing w:before="0" w:after="0" w:line="408" w:lineRule="exact"/>
        <w:ind w:left="0" w:right="0" w:firstLine="576"/>
        <w:jc w:val="left"/>
      </w:pPr>
      <w:r>
        <w:rPr/>
        <w:t xml:space="preserve">(a) A statement that the landlord intends to sell the manufactured/mobile home community;</w:t>
      </w:r>
    </w:p>
    <w:p>
      <w:pPr>
        <w:spacing w:before="0" w:after="0" w:line="408" w:lineRule="exact"/>
        <w:ind w:left="0" w:right="0" w:firstLine="576"/>
        <w:jc w:val="left"/>
      </w:pPr>
      <w:r>
        <w:rPr/>
        <w:t xml:space="preserve">(b) The contact information for the landlord or landlord's agent who is responsible for communicating with the qualified tenant organization or eligible organization regarding the sale of the property; and</w:t>
      </w:r>
    </w:p>
    <w:p>
      <w:pPr>
        <w:spacing w:before="0" w:after="0" w:line="408" w:lineRule="exact"/>
        <w:ind w:left="0" w:right="0" w:firstLine="576"/>
        <w:jc w:val="left"/>
      </w:pPr>
      <w:r>
        <w:rPr/>
        <w:t xml:space="preserve">(c) The terms of any offer or agreement for the purchase and sale of the manufactured/mobile home community, including the terms of any seller financing.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landlord may not close on the sale of his or her manufactured/mobile home community until ninety days after the date on which the notice of opportunity to purchase was delivered.</w:t>
      </w:r>
    </w:p>
    <w:p>
      <w:pPr>
        <w:spacing w:before="0" w:after="0" w:line="408" w:lineRule="exact"/>
        <w:ind w:left="0" w:right="0" w:firstLine="576"/>
        <w:jc w:val="left"/>
      </w:pPr>
      <w:r>
        <w:rPr/>
        <w:t xml:space="preserve">(2) During the period of ninety days after delivery of a notice of opportunity to purchase, a landlord may sell his or her manufactured/mobile home community to either a qualified tenant organization or an eligible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list of all eligible organizations that submit to the department of commerce a written request to receive notices of opportunity to purchase manufactured/mobile home communities, as provided in section 3 of this act, containing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a manufactured/mobile home community.</w:t>
      </w:r>
    </w:p>
    <w:p>
      <w:pPr>
        <w:spacing w:before="0" w:after="0" w:line="408" w:lineRule="exact"/>
        <w:ind w:left="0" w:right="0" w:firstLine="576"/>
        <w:jc w:val="left"/>
      </w:pPr>
      <w:r>
        <w:rPr/>
        <w:t xml:space="preserve">(2) The department of commerce must provide a copy of the list required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3 or 4 of this act is liable to the state of Washington in the amount of five thousand dollars or five percent of the total sales price, whichever is greater. This penalty is the exclusive remedy for a violation of section 3 or 4 of this act.</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w:t>
      </w:r>
      <w:r>
        <w:t>((</w:t>
      </w:r>
      <w:r>
        <w:rPr>
          <w:strike/>
        </w:rPr>
        <w:t xml:space="preserve">2018</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f0f0ae2931042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4f4f2c07646e3" /><Relationship Type="http://schemas.openxmlformats.org/officeDocument/2006/relationships/footer" Target="/word/footer.xml" Id="Ref0f0ae29310423f" /></Relationships>
</file>