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f960380b143b2" /></Relationships>
</file>

<file path=word/document.xml><?xml version="1.0" encoding="utf-8"?>
<w:document xmlns:w="http://schemas.openxmlformats.org/wordprocessingml/2006/main">
  <w:body>
    <w:p>
      <w:r>
        <w:t>H-4211.2</w:t>
      </w:r>
    </w:p>
    <w:p>
      <w:pPr>
        <w:jc w:val="center"/>
      </w:pPr>
      <w:r>
        <w:t>_______________________________________________</w:t>
      </w:r>
    </w:p>
    <w:p/>
    <w:p>
      <w:pPr>
        <w:jc w:val="center"/>
      </w:pPr>
      <w:r>
        <w:rPr>
          <w:b/>
        </w:rPr>
        <w:t>HOUSE BILL 2981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Shea</w:t>
      </w:r>
    </w:p>
    <w:p/>
    <w:p>
      <w:r>
        <w:rPr>
          <w:t xml:space="preserve">Read first time 02/10/16.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the requirement of county treasurers to pursue collection of delinquent personal property tax assessments when the assessment is below the cost of collection; and amending RCW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Pr>
        <w:spacing w:before="0" w:after="0" w:line="408" w:lineRule="exact"/>
        <w:ind w:left="0" w:right="0" w:firstLine="576"/>
        <w:jc w:val="left"/>
      </w:pPr>
      <w:r>
        <w:rPr>
          <w:u w:val="single"/>
        </w:rPr>
        <w:t xml:space="preserve">(5) The county treasurer may annually calculate the added value cost of pursuing collections of personal property tax assessments and request from the county legislative authority an exemption for personal property assessment accounts below that amount.</w:t>
      </w:r>
    </w:p>
    <w:p/>
    <w:p>
      <w:pPr>
        <w:jc w:val="center"/>
      </w:pPr>
      <w:r>
        <w:rPr>
          <w:b/>
        </w:rPr>
        <w:t>--- END ---</w:t>
      </w:r>
    </w:p>
    <w:sectPr>
      <w:pgNumType w:start="1"/>
      <w:footerReference xmlns:r="http://schemas.openxmlformats.org/officeDocument/2006/relationships" r:id="Rc3d5b7bb6f5d45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21b3773a54dc1" /><Relationship Type="http://schemas.openxmlformats.org/officeDocument/2006/relationships/footer" Target="/word/footer.xml" Id="Rc3d5b7bb6f5d45f6" /></Relationships>
</file>