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51ba1e9c44a36" /></Relationships>
</file>

<file path=word/document.xml><?xml version="1.0" encoding="utf-8"?>
<w:document xmlns:w="http://schemas.openxmlformats.org/wordprocessingml/2006/main">
  <w:body>
    <w:p>
      <w:r>
        <w:t>H-3473.2</w:t>
      </w:r>
    </w:p>
    <w:p>
      <w:pPr>
        <w:jc w:val="center"/>
      </w:pPr>
      <w:r>
        <w:t>_______________________________________________</w:t>
      </w:r>
    </w:p>
    <w:p/>
    <w:p>
      <w:pPr>
        <w:jc w:val="center"/>
      </w:pPr>
      <w:r>
        <w:rPr>
          <w:b/>
        </w:rPr>
        <w:t>HOUSE JOINT RESOLUTION 4214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Shea, Orcutt, Hargrove, Griffey, and Haler</w:t>
      </w:r>
    </w:p>
    <w:p/>
    <w:p>
      <w:r>
        <w:rPr>
          <w:t xml:space="preserve">Read first time 01/20/16.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of the Constitution of the state of Washington by adding a new section to read as follows:</w:t>
      </w:r>
    </w:p>
    <w:p>
      <w:pPr>
        <w:spacing w:before="0" w:after="0" w:line="408" w:lineRule="exact"/>
        <w:ind w:left="0" w:right="0" w:firstLine="576"/>
        <w:jc w:val="left"/>
      </w:pPr>
      <w:r>
        <w:rPr/>
        <w:t xml:space="preserve">Article II, section . . . (1)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w:t>
      </w:r>
    </w:p>
    <w:p>
      <w:pPr>
        <w:spacing w:before="0" w:after="0" w:line="408" w:lineRule="exact"/>
        <w:ind w:left="0" w:right="0" w:firstLine="576"/>
        <w:jc w:val="left"/>
      </w:pPr>
      <w:r>
        <w:rPr/>
        <w:t xml:space="preserve">(2) For the purposes of this section, "raises taxes" means any action or combination of actions by the state legislature that increases state tax revenue deposited in any fund, budget, or account, regardless of whether the revenues are deposited into the general fund.</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c3936657e38412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67f403a2d44fc4" /><Relationship Type="http://schemas.openxmlformats.org/officeDocument/2006/relationships/footer" Target="/word/footer.xml" Id="R6c3936657e38412f" /></Relationships>
</file>