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ef4cb4412d4b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Orwall, Kagi, Appleton, Gregerson, Reykdal, Carlyle, Stanford, Sawyer, Fitzgibbon, Jinkins, Cody, Hudgins, Senn, Clibborn, Moeller, Riccelli, Moscoso, Farrell, and Fey)</w:t>
      </w:r>
    </w:p>
    <w:p/>
    <w:p>
      <w:r>
        <w:rPr>
          <w:t xml:space="preserve">READ FIRST TIME 01/27/15.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examination kits; adding a new section to chapter 70.125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When a law enforcement agency receives a sexual assault examination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Consent has been given by the victim; or</w:t>
      </w:r>
    </w:p>
    <w:p>
      <w:pPr>
        <w:spacing w:before="0" w:after="0" w:line="408" w:lineRule="exact"/>
        <w:ind w:left="0" w:right="0" w:firstLine="576"/>
        <w:jc w:val="left"/>
      </w:pPr>
      <w:r>
        <w:rPr/>
        <w:t xml:space="preserve">(b) The victim is a person under the age of eighteen who is not emancipated pursuant to chapter 13.64 RCW.</w:t>
      </w:r>
    </w:p>
    <w:p>
      <w:pPr>
        <w:spacing w:before="0" w:after="0" w:line="408" w:lineRule="exact"/>
        <w:ind w:left="0" w:right="0" w:firstLine="576"/>
        <w:jc w:val="left"/>
      </w:pPr>
      <w:r>
        <w:rPr/>
        <w:t xml:space="preserve">(2) Subject to available funding, the Washington state patrol crime laboratory must give priority to the laboratory examination of sexual assault examination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examination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the effective date of this section.</w:t>
      </w:r>
    </w:p>
    <w:p>
      <w:pPr>
        <w:spacing w:before="0" w:after="0" w:line="408" w:lineRule="exact"/>
        <w:ind w:left="0" w:right="0" w:firstLine="576"/>
        <w:jc w:val="left"/>
      </w:pPr>
      <w:r>
        <w:rPr/>
        <w:t xml:space="preserve">(7)(a) Until June 30, 2018, the Washington state patrol shall compile the following information related to the sexual assault examination kits identified in this section:</w:t>
      </w:r>
    </w:p>
    <w:p>
      <w:pPr>
        <w:spacing w:before="0" w:after="0" w:line="408" w:lineRule="exact"/>
        <w:ind w:left="0" w:right="0" w:firstLine="576"/>
        <w:jc w:val="left"/>
      </w:pPr>
      <w:r>
        <w:rPr/>
        <w:t xml:space="preserve">(i) The number of requests for laboratory examination made for sexual assault examination kits and the law enforcement agencies that submitted the requests; and</w:t>
      </w:r>
    </w:p>
    <w:p>
      <w:pPr>
        <w:spacing w:before="0" w:after="0" w:line="408" w:lineRule="exact"/>
        <w:ind w:left="0" w:right="0" w:firstLine="576"/>
        <w:jc w:val="left"/>
      </w:pPr>
      <w:r>
        <w:rPr/>
        <w:t xml:space="preserve">(ii) The progress made towards testing the sexual assault examination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examination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w:t>
      </w:r>
      <w:r>
        <w:rPr/>
        <w:t xml:space="preserve">(a) A legislative task force is established to review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and</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September 30th of each subsequent year.</w:t>
      </w:r>
    </w:p>
    <w:p>
      <w:pPr>
        <w:spacing w:before="0" w:after="0" w:line="408" w:lineRule="exact"/>
        <w:ind w:left="0" w:right="0" w:firstLine="576"/>
        <w:jc w:val="left"/>
      </w:pPr>
      <w:r>
        <w:rPr/>
        <w:t xml:space="preserve">(9) This section expires June 30, 2018.</w:t>
      </w:r>
    </w:p>
    <w:p/>
    <w:p>
      <w:pPr>
        <w:jc w:val="center"/>
      </w:pPr>
      <w:r>
        <w:rPr>
          <w:b/>
        </w:rPr>
        <w:t>--- END ---</w:t>
      </w:r>
    </w:p>
    <w:sectPr>
      <w:pgNumType w:start="1"/>
      <w:footerReference xmlns:r="http://schemas.openxmlformats.org/officeDocument/2006/relationships" r:id="Rad56e18cba2d45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d7f8c557bf4460" /><Relationship Type="http://schemas.openxmlformats.org/officeDocument/2006/relationships/footer" Target="/word/footer.xml" Id="Rad56e18cba2d45ad" /></Relationships>
</file>