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0787afebb040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and Harris)</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professions participating in online access to the University of Washington health sciences library; reenacting and amending RCW 43.70.110;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2013 c 249 s 1 and 2013 c 77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w:t>
      </w:r>
      <w:r>
        <w:t>((</w:t>
      </w:r>
      <w:r>
        <w:rPr>
          <w:strike/>
        </w:rPr>
        <w:t xml:space="preserve">clinical social workers</w:t>
      </w:r>
      <w:r>
        <w:t>))</w:t>
      </w:r>
      <w:r>
        <w:rPr>
          <w:u w:val="single"/>
        </w:rPr>
        <w:t xml:space="preserve">advanced social workers licensed under chapter 18.225 RCW, independent clinical social workers and independent clinical social worker associates</w:t>
      </w:r>
      <w:r>
        <w:rPr/>
        <w:t xml:space="preserve"> licensed under chapter 18.225 RCW, midwives licensed under chapter 18.50 RCW, </w:t>
      </w:r>
      <w:r>
        <w:t>((</w:t>
      </w:r>
      <w:r>
        <w:rPr>
          <w:strike/>
        </w:rPr>
        <w:t xml:space="preserve">licensed</w:t>
      </w:r>
      <w:r>
        <w:t>))</w:t>
      </w:r>
      <w:r>
        <w:rPr/>
        <w:t xml:space="preserve"> marriage and family therapists </w:t>
      </w:r>
      <w:r>
        <w:rPr>
          <w:u w:val="single"/>
        </w:rPr>
        <w:t xml:space="preserve">and marriage and family therapist associates licensed</w:t>
      </w:r>
      <w:r>
        <w:rPr/>
        <w:t xml:space="preserve">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1a5becadf65d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9764d37ca4569" /><Relationship Type="http://schemas.openxmlformats.org/officeDocument/2006/relationships/footer" Target="/word/footer.xml" Id="R1a5becadf65d4bdf" /></Relationships>
</file>