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80806992a48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Kirby, Holy, Van De Wege, Hayes, Stokesbary, Fitzgibbon, and Bergquist; by request of LEOFF Plan 2 Retirement Board)</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benefits of a surviving spouse of a member of the law enforcement officers' and firefighters' retirement system or the state patrol retirement system; and amending RCW 41.26.510 and 43.43.285.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2010 c 261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as defined in RCW 41.04.005, 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pursuant to RCW 41.05.080.</w:t>
      </w:r>
    </w:p>
    <w:p>
      <w:pPr>
        <w:spacing w:before="0" w:after="0" w:line="408" w:lineRule="exact"/>
        <w:ind w:left="0" w:right="0" w:firstLine="576"/>
        <w:jc w:val="left"/>
      </w:pPr>
      <w:r>
        <w:rPr>
          <w:u w:val="single"/>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285</w:t>
      </w:r>
      <w:r>
        <w:rPr/>
        <w:t xml:space="preserve"> and 2010 c 261 s 7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(2)(a) The benefit under this section shall be paid only where death occurs as a result of (i) injuries sustained in the course of employment; or (ii)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pPr>
        <w:spacing w:before="0" w:after="0" w:line="408" w:lineRule="exact"/>
        <w:ind w:left="0" w:right="0" w:firstLine="576"/>
        <w:jc w:val="left"/>
      </w:pPr>
      <w:r>
        <w:rPr/>
        <w:t xml:space="preserve">(b)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under RCW 41.05.080.</w:t>
      </w:r>
    </w:p>
    <w:p>
      <w:pPr>
        <w:spacing w:before="0" w:after="0" w:line="408" w:lineRule="exact"/>
        <w:ind w:left="0" w:right="0" w:firstLine="576"/>
        <w:jc w:val="left"/>
      </w:pPr>
      <w:r>
        <w:rPr/>
        <w:t xml:space="preserve">(3)(a)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(4) In addition to the survivor benefit payable under RCW 43.43.270 or 43.43.271, if the surviving spouse or domestic partner of a member whose death occurs as a result of (a) injuries sustained in the course of employment; or (b) an occupational disease or infection that arises naturally and proximately out of employment covered under this chapter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whose benefits under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
      <w:pPr>
        <w:jc w:val="center"/>
      </w:pPr>
      <w:r>
        <w:rPr>
          <w:b/>
        </w:rPr>
        <w:t>--- END ---</w:t>
      </w:r>
    </w:p>
    <w:sectPr>
      <w:pgNumType w:start="1"/>
      <w:footerReference xmlns:r="http://schemas.openxmlformats.org/officeDocument/2006/relationships" r:id="R67aa17de991f4d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68ed11a6f40b3" /><Relationship Type="http://schemas.openxmlformats.org/officeDocument/2006/relationships/footer" Target="/word/footer.xml" Id="R67aa17de991f4d24" /></Relationships>
</file>