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0cad7547d4e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1409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1409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Walkinshaw, Hayes, Clibborn, Hargrove, Fey, Farrell, Zeiger, Orcutt,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vessel owner information; amending RCW 46.12.630, 46.12.635, and 46.12.640; adding a new section to chapter 88.02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spacing w:before="0" w:after="0" w:line="408" w:lineRule="exact"/>
        <w:ind w:left="0" w:right="0" w:firstLine="576"/>
        <w:jc w:val="left"/>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w:t>
      </w:r>
      <w:r>
        <w:rPr>
          <w:u w:val="single"/>
        </w:rPr>
        <w:t xml:space="preserve">, or to any law enforcement entity for use, as may be necessary, in locating the owner of or otherwise dealing with a vessel that has become a hazard</w:t>
      </w:r>
      <w:r>
        <w:rPr/>
        <w:t xml:space="preserve">;</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spacing w:before="0" w:after="0" w:line="408" w:lineRule="exact"/>
        <w:ind w:left="0" w:right="0" w:firstLine="576"/>
        <w:jc w:val="left"/>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spacing w:before="0" w:after="0" w:line="408" w:lineRule="exact"/>
        <w:ind w:left="0" w:right="0" w:firstLine="576"/>
        <w:jc w:val="left"/>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spacing w:before="0" w:after="0" w:line="408" w:lineRule="exact"/>
        <w:ind w:left="0" w:right="0" w:firstLine="576"/>
        <w:jc w:val="left"/>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w:t>
      </w:r>
      <w:r>
        <w:rPr>
          <w:u w:val="single"/>
        </w:rPr>
        <w:t xml:space="preserve">The department shall disclose vessel records for any vessel owned by a governmental entity upon request.</w:t>
      </w:r>
    </w:p>
    <w:p>
      <w:pPr>
        <w:spacing w:before="0" w:after="0" w:line="408" w:lineRule="exact"/>
        <w:ind w:left="0" w:right="0" w:firstLine="576"/>
        <w:jc w:val="left"/>
      </w:pPr>
      <w:r>
        <w:rPr>
          <w:u w:val="single"/>
        </w:rPr>
        <w:t xml:space="preserve">(8)</w:t>
      </w:r>
      <w:r>
        <w:rPr/>
        <w:t xml:space="preserve"> This section shall not apply to title history information under RCW 19.118.170.</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spacing w:before="0" w:after="0" w:line="408" w:lineRule="exact"/>
        <w:ind w:left="0" w:right="0" w:firstLine="576"/>
        <w:jc w:val="left"/>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information from a department vehicle </w:t>
      </w:r>
      <w:r>
        <w:rPr>
          <w:u w:val="single"/>
        </w:rPr>
        <w:t xml:space="preserve">or vessel</w:t>
      </w:r>
      <w:r>
        <w:rPr/>
        <w:t xml:space="preserve"> record; or</w:t>
      </w:r>
    </w:p>
    <w:p>
      <w:pPr>
        <w:spacing w:before="0" w:after="0" w:line="408" w:lineRule="exact"/>
        <w:ind w:left="0" w:right="0" w:firstLine="576"/>
        <w:jc w:val="left"/>
      </w:pPr>
      <w:r>
        <w:rPr/>
        <w:t xml:space="preserve">(b) The use of a false representation to obtain information from the department's vehicle </w:t>
      </w:r>
      <w:r>
        <w:rPr>
          <w:u w:val="single"/>
        </w:rPr>
        <w:t xml:space="preserve">or vessel</w:t>
      </w:r>
      <w:r>
        <w:rPr/>
        <w:t xml:space="preserve"> records; or</w:t>
      </w:r>
    </w:p>
    <w:p>
      <w:pPr>
        <w:spacing w:before="0" w:after="0" w:line="408" w:lineRule="exact"/>
        <w:ind w:left="0" w:right="0" w:firstLine="576"/>
        <w:jc w:val="left"/>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disclosure of vessel owner records by the department of licensing is governed under RCW 46.12.630, 46.12.635, and 46.12.640.</w:t>
      </w:r>
    </w:p>
    <w:p/>
    <w:p>
      <w:pPr>
        <w:jc w:val="center"/>
      </w:pPr>
      <w:r>
        <w:rPr>
          <w:b/>
        </w:rPr>
        <w:t>--- END ---</w:t>
      </w:r>
    </w:p>
    <w:sectPr>
      <w:pgNumType w:start="1"/>
      <w:footerReference xmlns:r="http://schemas.openxmlformats.org/officeDocument/2006/relationships" r:id="R1c9f190f94814b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4b458d52a4315" /><Relationship Type="http://schemas.openxmlformats.org/officeDocument/2006/relationships/footer" Target="/word/footer.xml" Id="R1c9f190f94814ba7" /></Relationships>
</file>