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c599425534c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Riccelli, Holy, Parker, Ormsby, Caldier, Hayes, Jinkins, Walkinshaw, Gregerson, Appleton, Ryu, McBride, and Shea)</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amending RCW 71.05.120; adding new sections to chapter 71.05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to be taken into custody for an evaluation under the involuntary treatment act. In these situations, officers are encouraged to facilitate contact between the individual and a mental health professional in order to protect the individual and the community. While the legislature acknowledges that some law enforcement officers receive mental health training, law enforcement officers are not mental health professionals. It is the intent of the legislature that mental health incidents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mental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mental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county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are not liable for the referral of a person, or the failure to refer a person, to a mental health agency pursuant to a policy adopted pursuant to section 3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mental health professional agency must attempt to contact the referred person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3f13e53962d44f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a950d29e74dc1" /><Relationship Type="http://schemas.openxmlformats.org/officeDocument/2006/relationships/footer" Target="/word/footer.xml" Id="R3f13e53962d44f07" /></Relationships>
</file>