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f8409731946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FOURTH SUBSTITUTE HOUSE BILL 1541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FOURTH SUBSTITUTE HOUSE BILL 1541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FOURTH SUBSTITUTE HOUSE BILL 1541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Santos, Ortiz-Self, Tharinger, Moscoso, Orwall, and Gregerson)</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28A.180.040, 28A.180.090, 28A.300.042, 28A.300.505, 28A.300.507, 28A.165.035, and 28A.300.130; reenacting and amending RCW 13.50.010; adding a new section to chapter 28A.320 RCW; adding new sections to chapter 28A.345 RCW; adding new sections to chapter 28A.415 RCW; adding new sections to chapter 28A.657 RCW; adding a new section to chapter 43.215 RCW; adding a new section to chapter 28A.300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2016.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and enforce discipline policies and procedures consistent with the model policy by the beginning of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subject to the availability of amounts appropriated for this specific purpose,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u w:val="single"/>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w:t>
      </w:r>
    </w:p>
    <w:p>
      <w:pPr>
        <w:spacing w:before="0" w:after="0" w:line="408" w:lineRule="exact"/>
        <w:ind w:left="0" w:right="0" w:firstLine="576"/>
        <w:jc w:val="left"/>
      </w:pPr>
      <w:r>
        <w:rPr>
          <w:u w:val="single"/>
        </w:rPr>
        <w:t xml:space="preserve">(c) Two or more violations of RCW 9A.46.120, 9.41.280, 28A.600.455, 28A.635.020, or 28A.635.060 within a three-year period; or</w:t>
      </w:r>
    </w:p>
    <w:p>
      <w:pPr>
        <w:spacing w:before="0" w:after="0" w:line="408" w:lineRule="exact"/>
        <w:ind w:left="0" w:right="0" w:firstLine="576"/>
        <w:jc w:val="left"/>
      </w:pPr>
      <w:r>
        <w:rPr>
          <w:u w:val="single"/>
        </w:rPr>
        <w:t xml:space="preserve">(d) Behavior that adversely impacts the health or safety of other students or educational staff</w:t>
      </w:r>
      <w:r>
        <w:rPr>
          <w:u w:val="single"/>
        </w:rPr>
        <w:t xml:space="preserve">.</w:t>
      </w:r>
    </w:p>
    <w:p>
      <w:pPr>
        <w:spacing w:before="0" w:after="0" w:line="408" w:lineRule="exact"/>
        <w:ind w:left="0" w:right="0" w:firstLine="576"/>
        <w:jc w:val="left"/>
      </w:pPr>
      <w:r>
        <w:rPr>
          <w:u w:val="single"/>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u w:val="single"/>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u w:val="single"/>
        </w:rPr>
        <w:t xml:space="preserve">(9)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Subject to funds appropriated specifically for this purpose, 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2015 c 210 s 2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that must include:</w:t>
      </w:r>
    </w:p>
    <w:p>
      <w:pPr>
        <w:spacing w:before="0" w:after="0" w:line="408" w:lineRule="exact"/>
        <w:ind w:left="0" w:right="0" w:firstLine="576"/>
        <w:jc w:val="left"/>
      </w:pPr>
      <w:r>
        <w:rPr/>
        <w:t xml:space="preserve">(a) Data on student demographics that is disaggregated </w:t>
      </w:r>
      <w:r>
        <w:t>((</w:t>
      </w:r>
      <w:r>
        <w:rPr>
          <w:strike/>
        </w:rPr>
        <w:t xml:space="preserve">by distinct ethnic categories within racial subgroups so that analyses may be conducted on student achievement using the disaggregated data</w:t>
      </w:r>
      <w:r>
        <w:t>))</w:t>
      </w:r>
      <w:r>
        <w:rPr/>
        <w:t xml:space="preserve"> </w:t>
      </w:r>
      <w:r>
        <w:rPr>
          <w:u w:val="single"/>
        </w:rPr>
        <w:t xml:space="preserve">as required by RCW 28A.300.042</w:t>
      </w:r>
      <w:r>
        <w:rPr/>
        <w:t xml:space="preserve">; and</w:t>
      </w:r>
    </w:p>
    <w:p>
      <w:pPr>
        <w:spacing w:before="0" w:after="0" w:line="408" w:lineRule="exact"/>
        <w:ind w:left="0" w:right="0" w:firstLine="576"/>
        <w:jc w:val="left"/>
      </w:pPr>
      <w:r>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(ii) Further disaggregation of countries of origin for Asian students;</w:t>
      </w:r>
    </w:p>
    <w:p>
      <w:pPr>
        <w:spacing w:before="0" w:after="0" w:line="408" w:lineRule="exact"/>
        <w:ind w:left="0" w:right="0" w:firstLine="576"/>
        <w:jc w:val="left"/>
      </w:pPr>
      <w:r>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(iv) For students who report as multiracial, collection of their racial and ethnic combination of categories.</w:t>
      </w:r>
    </w:p>
    <w:p>
      <w:pPr>
        <w:spacing w:before="0" w:after="0" w:line="408" w:lineRule="exact"/>
        <w:ind w:left="0" w:right="0" w:firstLine="576"/>
        <w:jc w:val="left"/>
      </w:pPr>
      <w:r>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t xml:space="preserve">(a) Students with a parent or guardian who is a member of the active duty United States armed forces; and</w:t>
      </w:r>
    </w:p>
    <w:p>
      <w:pPr>
        <w:spacing w:before="0" w:after="0" w:line="408" w:lineRule="exact"/>
        <w:ind w:left="0" w:right="0" w:firstLine="576"/>
        <w:jc w:val="left"/>
      </w:pPr>
      <w:r>
        <w:rPr/>
        <w:t xml:space="preserve">(b) Students with a parent or guardian who is a member of the reserves of the United States armed forces or a member of the Washington national guard.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August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INTEGRATED STUDENT SERVICES AND FAMILY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create a work group to determine how to best implement the framework described in section 801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801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w:t>
      </w:r>
      <w:r>
        <w:t>((</w:t>
      </w:r>
      <w:r>
        <w:rPr>
          <w:strike/>
        </w:rPr>
        <w:t xml:space="preserve">to the extent funds are appropriated</w:t>
      </w:r>
      <w:r>
        <w:t>))</w:t>
      </w:r>
      <w:r>
        <w:rPr/>
        <w:t xml:space="preserve"> </w:t>
      </w:r>
      <w:r>
        <w:rPr>
          <w:u w:val="single"/>
        </w:rPr>
        <w:t xml:space="preserve">subject to the availability of amounts appropriated for this specific purpose</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to the extent funds are appropriated for this purpose</w:t>
      </w:r>
      <w:r>
        <w:t>))</w:t>
      </w:r>
      <w:r>
        <w:rPr/>
        <w:t xml:space="preserve"> </w:t>
      </w:r>
      <w:r>
        <w:rPr>
          <w:u w:val="single"/>
        </w:rPr>
        <w:t xml:space="preserve">subject to the availability of amounts appropriated for this specific purpose</w:t>
      </w:r>
      <w:r>
        <w:rPr/>
        <w:t xml:space="preserv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2eac906ac8324c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1541.PL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0a7310a2fe42c1" /><Relationship Type="http://schemas.openxmlformats.org/officeDocument/2006/relationships/footer" Target="/word/footer.xml" Id="R2eac906ac8324c35" /></Relationships>
</file>