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d69dc961b42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1713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89</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40</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THIRD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1713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Harris, Jinkins, Moeller, Tharinger, Appleton, Ortiz-Self, and Pollet)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70.96A.140, 70.96A.145, 70.96A.230, 71.05.010, 71.05.025, 71.05.026, 71.05.050, 71.05.120, 71.05.132, 71.05.150, 71.05.150, 71.05.153, 71.05.153, 71.05.154, 71.05.156, 71.05.157, 71.05.160, 71.05.170, 71.05.180, 71.05.190, 71.05.195, 71.05.201, 71.05.203, 71.05.210, 71.05.212, 71.05.214, 71.05.215, 71.05.220, 71.05.230, 71.05.235, 71.05.240, 71.05.240, 71.05.280, 71.05.290, 71.05.300, 71.05.320, 71.05.320, 71.05.325, 71.05.340, 71.05.585, 71.05.590, 71.05.590, 71.05.360, 71.05.380, 71.05.435, 71.05.530, 71.05.560, 71.05.620, 71.05.700, 71.05.705, 71.05.745, 71.05.750, 71.34.020, 71.34.305, 71.34.375, 71.34.385, 71.34.400, 71.34.410, 71.34.420, 71.34.500, 71.34.520, 71.34.600, 71.34.630, 71.34.650, 71.34.660, 71.34.700, 71.34.700, 71.34.710, 71.34.710, 71.34.720, 71.34.720, 71.34.740, 71.34.740, 71.34.750, 71.34.750, 71.34.760, 71.34.780, 71.34.780, 9.41.098, 4.24.558, 5.60.060, 9.41.280, 9.95.143, 10.77.010, 10.77.025, 10.77.027, 10.77.060, 10.77.065, 10.77.084, 10.77.088, 11.92.190, 43.185C.255, 18.83.110, 43.20A.025, 70.48.475, 70.97.010, 71.05.660, 71.24.045, 71.24.330, 71.32.080, 71.32.140, 71.32.150, 72.09.315, 72.09.370, 43.185C.305, 74.50.070, 71.24.025, 71.24.035, 70.96A.050, 71.24.037, 70.96A.090, 71.24.385, 70.96A.035, 70.96C.010, 70.96A.037, 70.96A.047, 70.96A.055, 70.96A.087, 70.96A.170, 70.96A.400, 70.96A.800, 70.96A.905, 71.24.300, 71.24.350, 9.94A.660, 10.05.020, 10.05.030, 10.05.150, 70.96C.020, 46.61.5055, 46.61.5056, and 82.04.4277; reenacting and amending RCW 70.96A.020, 71.05.020, 71.05.210, 71.34.730, 70.02.010, 70.02.230, 71.24.025, and 70.96A.350; adding new sections to chapter 71.05 RCW; adding new sections to chapter 71.24 RCW; adding a new section to chapter 72.09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70.96A.011, 70.96A.020, 70.96A.095, 70.96A.096, 70.96A.097, 70.96A.110, 70.96A.120, 70.96A.140, 70.96A.141, 70.96A.142, 70.96A.145, 70.96A.148, 70.96A.155, 70.96A.157, 70.96A.160, 70.96A.180, 70.96A.230, 70.96A.235, 70.96A.240, 70.96A.245, 70.96A.250, 70.96A.255, 70.96A.260, 70.96A.265, 70.96A.910, 70.96A.915, 70.96A.920, 70.96A.930,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licensed as a physician assistant under chapter 18.57A or 18.71A RCW.</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physicians;</w:t>
      </w:r>
    </w:p>
    <w:p>
      <w:pPr>
        <w:spacing w:before="0" w:after="0" w:line="408" w:lineRule="exact"/>
        <w:ind w:left="0" w:right="0" w:firstLine="576"/>
        <w:jc w:val="left"/>
      </w:pPr>
      <w:r>
        <w:rPr>
          <w:u w:val="single"/>
        </w:rPr>
        <w:t xml:space="preserve">(B) One physician and a mental health professional;</w:t>
      </w:r>
    </w:p>
    <w:p>
      <w:pPr>
        <w:spacing w:before="0" w:after="0" w:line="408" w:lineRule="exact"/>
        <w:ind w:left="0" w:right="0" w:firstLine="576"/>
        <w:jc w:val="left"/>
      </w:pPr>
      <w:r>
        <w:rPr>
          <w:u w:val="single"/>
        </w:rPr>
        <w:t xml:space="preserve">(C) One physician assistant and a mental health professional; or</w:t>
      </w:r>
    </w:p>
    <w:p>
      <w:pPr>
        <w:spacing w:before="0" w:after="0" w:line="408" w:lineRule="exact"/>
        <w:ind w:left="0" w:right="0" w:firstLine="576"/>
        <w:jc w:val="left"/>
      </w:pPr>
      <w:r>
        <w:rPr>
          <w:u w:val="single"/>
        </w:rPr>
        <w:t xml:space="preserve">(D) One psychiatric advanced registered nurse practitioner and a mental health professional.</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 </w:t>
      </w:r>
      <w:r>
        <w:rPr>
          <w:u w:val="single"/>
        </w:rPr>
        <w:t xml:space="preserve">The costs of mandated representation shall be reimbursed by the behavioral health organization or full integration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if: (1) The minor signs a written consent authorizing the disclosure; or (2) the treatment program director determines that the minor lacks capacity to make a rational choice regarding consenting to disclosure. </w:t>
      </w:r>
      <w:r>
        <w:t>((</w:t>
      </w:r>
      <w:r>
        <w:rPr>
          <w:strike/>
        </w:rPr>
        <w:t xml:space="preserve">The</w:t>
      </w:r>
      <w:r>
        <w:t>))</w:t>
      </w:r>
      <w:r>
        <w:rPr/>
        <w:t xml:space="preserve"> </w:t>
      </w:r>
      <w:r>
        <w:rPr>
          <w:u w:val="single"/>
        </w:rPr>
        <w:t xml:space="preserve">A provider of outpatient treatment may, at his or her discretion, provide notice of a minor's request for treatment to the minor's parents if the provider determines that notice is in the best interest of the minor in achieving recovery. Any</w:t>
      </w:r>
      <w:r>
        <w:rPr/>
        <w:t xml:space="preserve"> notice </w:t>
      </w:r>
      <w:r>
        <w:rPr>
          <w:u w:val="single"/>
        </w:rPr>
        <w:t xml:space="preserve">under this section</w:t>
      </w:r>
      <w:r>
        <w:rPr/>
        <w:t xml:space="preserv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1st sp.s.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1st sp.s.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1st sp.s.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1st sp.s.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1st sp.s.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(33)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1st sp.s.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1st sp.s.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1st sp.s.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a mental health professional and either a physician or a psychiatric advanced registered nurse practitioner, or (iv) a physician and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1st sp.s.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1st sp.s.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1st sp.s.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1st sp.s.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1st sp.s.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1st sp.s.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2016 1st sp.s. c . . . s 104 (section 104 of this act) &amp;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1st sp.s.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533 of this act to the relevant committees of the legislature by December 15,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new entitlement or cause of action related to civil commitment under this chapter,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018c703fbd4048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a267442d4c4a19" /><Relationship Type="http://schemas.openxmlformats.org/officeDocument/2006/relationships/footer" Target="/word/footer.xml" Id="R018c703fbd404864" /></Relationships>
</file>