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65284f29714e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91</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2017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Klippert, Cody, Blake, Dent, Hayes, Fagan, and Kretz)</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farmers and ranchers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t>
            </w:r>
            <w:r>
              <w:rPr>
                <w:rFonts w:ascii="Times New Roman" w:hAnsi="Times New Roman"/>
                <w:sz w:val="16"/>
                <w:u w:val="single"/>
              </w:rPr>
              <w:t xml:space="preserve">Washington farmers</w:t>
            </w:r>
            <w:r>
              <w:rPr>
                <w:rFonts w:ascii="Times New Roman" w:hAnsi="Times New Roman"/>
                <w:sz w:val="16"/>
              </w:rPr>
              <w:t xml:space="preserve">   </w:t>
            </w:r>
            <w:r>
              <w:rPr>
                <w:rFonts w:ascii="Times New Roman" w:hAnsi="Times New Roman"/>
                <w:sz w:val="16"/>
                <w:u w:val="single"/>
              </w:rPr>
              <w:t xml:space="preserve">and ranchers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farmers and ranchers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farmers and ranchers license plates" means special license plates issued under RCW 46.18.200 that display a symbol or artwork recognizing Washington farmers and ranchers.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79a86c39897142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ba24fba5a44cde" /><Relationship Type="http://schemas.openxmlformats.org/officeDocument/2006/relationships/footer" Target="/word/footer.xml" Id="R79a86c398971424f" /></Relationships>
</file>