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00366ef81142f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2938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2938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2938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Finance (originally sponsored by Representatives Orcutt and Walkinshaw)</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participation in Washington trade conventions by modifying tax provisions related to establishing substantial nexus; amending RCW 82.04.067; adding a new section to chapter 82.32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participation in Washington trade conventions. It is the legislature's intent to allow a business to participate in one trade convention in Washington each year without that participation being the sole basis for establishing physical presence nexus with the state for tax purposes. Pursuant to chapter 43.136 RCW, the joint legislative audit and review committee must review the new tax preference established under section 3 of this act by December 31, 2025.</w:t>
      </w:r>
    </w:p>
    <w:p>
      <w:pPr>
        <w:spacing w:before="0" w:after="0" w:line="408" w:lineRule="exact"/>
        <w:ind w:left="0" w:right="0" w:firstLine="576"/>
        <w:jc w:val="left"/>
      </w:pPr>
      <w:r>
        <w:rPr/>
        <w:t xml:space="preserve">(4) If a review finds that the number of businesses participating in trade conventions in Washington has increased from 2015 levels, then the legislature intends for the legislative auditor to recommend extending the expiration date of the tax preference. If the joint legislative audit and review committee finds that the number of businesses participating in trade conventions in Washington has not increased above 2015 levels, then the joint legislative audit and review committee must make recommendations on how the tax preference can be improved to accomplish that legislative objective.</w:t>
      </w:r>
      <w:r>
        <w:rPr/>
        <w:t xml:space="preserve"> To obtain the data necessary to perform this review, the joint legislative audit and review committee must request the required information from the department of revenue and the Washington state convention center operated under chapter 36.100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2015 3rd sp.s. c 5 s 204 are each amended to read as follows:</w:t>
      </w:r>
    </w:p>
    <w:p>
      <w:pPr>
        <w:spacing w:before="0" w:after="0" w:line="408" w:lineRule="exact"/>
        <w:ind w:left="0" w:right="0" w:firstLine="576"/>
        <w:jc w:val="left"/>
      </w:pPr>
      <w:r>
        <w:rPr/>
        <w:t xml:space="preserve">(1) A person engaging in business is deemed to have substantial nexus with this state if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in the immediately preceding tax year the person had:</w:t>
      </w:r>
    </w:p>
    <w:p>
      <w:pPr>
        <w:spacing w:before="0" w:after="0" w:line="408" w:lineRule="exact"/>
        <w:ind w:left="0" w:right="0" w:firstLine="576"/>
        <w:jc w:val="left"/>
      </w:pPr>
      <w:r>
        <w:rPr/>
        <w:t xml:space="preserve">(i) More than fifty thousand dollars of property in this state;</w:t>
      </w:r>
    </w:p>
    <w:p>
      <w:pPr>
        <w:spacing w:before="0" w:after="0" w:line="408" w:lineRule="exact"/>
        <w:ind w:left="0" w:right="0" w:firstLine="576"/>
        <w:jc w:val="left"/>
      </w:pPr>
      <w:r>
        <w:rPr/>
        <w:t xml:space="preserve">(ii) More than fifty thousand dollars of payroll in this state;</w:t>
      </w:r>
    </w:p>
    <w:p>
      <w:pPr>
        <w:spacing w:before="0" w:after="0" w:line="408" w:lineRule="exact"/>
        <w:ind w:left="0" w:right="0" w:firstLine="576"/>
        <w:jc w:val="left"/>
      </w:pPr>
      <w:r>
        <w:rPr/>
        <w:t xml:space="preserve">(iii) More than two hundred fifty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immediately preceding tax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tax year; but the department may require the averaging of monthly values during the tax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immediately preceding tax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w:t>
      </w:r>
    </w:p>
    <w:p>
      <w:pPr>
        <w:spacing w:before="0" w:after="0" w:line="408" w:lineRule="exact"/>
        <w:ind w:left="0" w:right="0" w:firstLine="576"/>
        <w:jc w:val="left"/>
      </w:pPr>
      <w:r>
        <w:rPr/>
        <w:t xml:space="preserve">(a) Those amounts included in the numerator of the receipts factor under RCW 82.04.462;</w:t>
      </w:r>
    </w:p>
    <w:p>
      <w:pPr>
        <w:spacing w:before="0" w:after="0" w:line="408" w:lineRule="exact"/>
        <w:ind w:left="0" w:right="0" w:firstLine="576"/>
        <w:jc w:val="left"/>
      </w:pPr>
      <w:r>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t xml:space="preserve">(c) For persons taxable under RCW 82.04.257(1) or 82.04.270 with respect to wholesale sales, the gross proceeds of sales taxable under those statutory provisions and sourced to this state in accordance with RCW 82.32.730.</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(6)(a) Subsections (1) through (5) of this section only apply with respect to the taxes on persons engaged in apportionable activities as defined in RCW 82.04.460 or making wholesale sales taxable under RCW 82.04.257(1) or 82.04.270. For purposes of the taxes imposed under this chapter on any activity not included in the definition of apportionable activities in RCW 82.04.460, other than the business of making wholesale sales taxed under RCW 82.04.257(1) or 82.04.270, </w:t>
      </w:r>
      <w:r>
        <w:rPr>
          <w:u w:val="single"/>
        </w:rPr>
        <w:t xml:space="preserve">except as provided in section 3 of this act,</w:t>
      </w:r>
      <w:r>
        <w:rPr/>
        <w:t xml:space="preserve"> a person is deemed to have a substantial nexus with this state if the person has a physical presence in this state during the tax year, which need only be demonstrably more than a slightest presence.</w:t>
      </w:r>
    </w:p>
    <w:p>
      <w:pPr>
        <w:spacing w:before="0" w:after="0" w:line="408" w:lineRule="exact"/>
        <w:ind w:left="0" w:right="0" w:firstLine="576"/>
        <w:jc w:val="left"/>
      </w:pPr>
      <w:r>
        <w:rPr/>
        <w:t xml:space="preserve">(b) For purposes of this subsection, a person is physically present in this state if the person has property or employees in this state.</w:t>
      </w:r>
    </w:p>
    <w:p>
      <w:pPr>
        <w:spacing w:before="0" w:after="0" w:line="408" w:lineRule="exact"/>
        <w:ind w:left="0" w:right="0" w:firstLine="576"/>
        <w:jc w:val="left"/>
      </w:pPr>
      <w:r>
        <w:rPr/>
        <w:t xml:space="preserve">(c)(i) A person is also physically present in this state for the purposes of this subsection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t xml:space="preserve">(ii) A remote seller as defined in RCW 82.08.052 is presumed to be engaged in activities in this state that are significantly associated with the remote seller's ability to establish or maintain a market for its products in this state if the remote seller is presumed to have a substantial nexus with this state under RCW 82.08.052. The presumption in this subsection (6)(c)(ii) may be rebutted as provided in RCW 82.08.052. To the extent that the presumption in RCW 82.08.052 is no longer operative pursuant to RCW 82.32.762, the presumption in this subsection (6)(c)(ii) is no longer operative. Nothing in this section may be construed to affect in any way RCW 82.04.424, 82.08.050(11), or 82.12.040(5) or to narrow the scope of the terms "agent" or "other representative" in this subsection (6)(c).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For purposes of the taxes imposed or authorized under chapters 82.04, 82.08, 82.12, and 82.14 RCW, the department may not make a determination of nexus based solely on the attendance or participation of one or more representatives of a person at a single trade convention per year in Washington state in determining if such person is physically present in this state for the purposes of establishing substantial nexus with this state.</w:t>
      </w:r>
    </w:p>
    <w:p>
      <w:pPr>
        <w:spacing w:before="0" w:after="0" w:line="408" w:lineRule="exact"/>
        <w:ind w:left="0" w:right="0" w:firstLine="576"/>
        <w:jc w:val="left"/>
      </w:pPr>
      <w:r>
        <w:rPr/>
        <w:t xml:space="preserve">(2) Subsection (1) of this section does not apply to persons making retail sales at a trade convention, including persons taking orders for products or services where receipt will occur in Washington state.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"Not marketed to the general public" means that the sponsor of a trade convention limits its marketing efforts for the trade convention to its members and specific invited guests of the sponsoring organization.</w:t>
      </w:r>
    </w:p>
    <w:p>
      <w:pPr>
        <w:spacing w:before="0" w:after="0" w:line="408" w:lineRule="exact"/>
        <w:ind w:left="0" w:right="0" w:firstLine="576"/>
        <w:jc w:val="left"/>
      </w:pPr>
      <w:r>
        <w:rPr/>
        <w:t xml:space="preserve">(b) "Physically present in this state" and "substantial nexus with this state" have the same meaning as provided in RCW 82.04.067.</w:t>
      </w:r>
    </w:p>
    <w:p>
      <w:pPr>
        <w:spacing w:before="0" w:after="0" w:line="408" w:lineRule="exact"/>
        <w:ind w:left="0" w:right="0" w:firstLine="576"/>
        <w:jc w:val="left"/>
      </w:pPr>
      <w:r>
        <w:rPr/>
        <w:t xml:space="preserve">(c) "Trade convention" means an exhibition for a specific industry or profession, which is not marketed to the general public, for the purposes of:</w:t>
      </w:r>
    </w:p>
    <w:p>
      <w:pPr>
        <w:spacing w:before="0" w:after="0" w:line="408" w:lineRule="exact"/>
        <w:ind w:left="0" w:right="0" w:firstLine="576"/>
        <w:jc w:val="left"/>
      </w:pPr>
      <w:r>
        <w:rPr/>
        <w:t xml:space="preserve">(i) Exhibiting, demonstrating, and explaining services, products, or equipment to potential customers; or</w:t>
      </w:r>
    </w:p>
    <w:p>
      <w:pPr>
        <w:spacing w:before="0" w:after="0" w:line="408" w:lineRule="exact"/>
        <w:ind w:left="0" w:right="0" w:firstLine="576"/>
        <w:jc w:val="left"/>
      </w:pPr>
      <w:r>
        <w:rPr/>
        <w:t xml:space="preserve">(ii) The exchange of information, ideas, and attitudes in regards to that industry or profession.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2d9c6f59ff5e42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bca31265d54a05" /><Relationship Type="http://schemas.openxmlformats.org/officeDocument/2006/relationships/footer" Target="/word/footer.xml" Id="R2d9c6f59ff5e4212" /></Relationships>
</file>