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2268bb3224498" /></Relationships>
</file>

<file path=word/document.xml><?xml version="1.0" encoding="utf-8"?>
<w:document xmlns:w="http://schemas.openxmlformats.org/wordprocessingml/2006/main">
  <w:body>
    <w:p>
      <w:r>
        <w:t>Z-0165.2</w:t>
      </w:r>
    </w:p>
    <w:p>
      <w:pPr>
        <w:jc w:val="center"/>
      </w:pPr>
      <w:r>
        <w:t>_______________________________________________</w:t>
      </w:r>
    </w:p>
    <w:p/>
    <w:p>
      <w:pPr>
        <w:jc w:val="center"/>
      </w:pPr>
      <w:r>
        <w:rPr>
          <w:b/>
        </w:rPr>
        <w:t>SENATE BILL 5047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Conway, Rivers, Fraser, Kohl-Welles, Hasegawa, Dammeier, Pedersen, Jayapal, and Darneille; by request of Attorney General</w:t>
      </w:r>
    </w:p>
    <w:p/>
    <w:p>
      <w:r>
        <w:rPr>
          <w:t xml:space="preserve">Prefiled 01/07/15.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protection of consumer financial information; amending RCW 19.255.010 and 42.56.590;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data breaches of personal information can compromise financial security and be costly to consumers. The legislature intends to strengthen the data breach notification requirements to better safeguard personal information, prevent identity theft, and ensure that the attorney general receives notification when breaches occur so that appropriate action may be taken to protect consumers. The legislature also intends to provide consumers whose personal information has been jeopardized due to a data breach with the information needed to secure financial accounts and make the necessary reports in a timely manner to minimize harm from identity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2005 c 368 s 2 are each amended to read as follows:</w:t>
      </w:r>
    </w:p>
    <w:p>
      <w:pPr>
        <w:spacing w:before="0" w:after="0" w:line="408" w:lineRule="exact"/>
        <w:ind w:left="0" w:right="0" w:firstLine="576"/>
        <w:jc w:val="left"/>
      </w:pPr>
      <w:r>
        <w:rPr/>
        <w:t xml:space="preserve">(1) Any person or business that conducts business in this state and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u w:val="single"/>
        </w:rPr>
        <w:t xml:space="preserve">Notice is not required if the breach of the security of the system is not reasonably likely to subject consumers to a risk of criminal activity.</w:t>
      </w:r>
    </w:p>
    <w:p>
      <w:pPr>
        <w:spacing w:before="0" w:after="0" w:line="408" w:lineRule="exact"/>
        <w:ind w:left="0" w:right="0" w:firstLine="576"/>
        <w:jc w:val="left"/>
      </w:pPr>
      <w:r>
        <w:rPr/>
        <w:t xml:space="preserve">(2) Any person or business that maintains </w:t>
      </w:r>
      <w:r>
        <w:t>((</w:t>
      </w:r>
      <w:r>
        <w:rPr>
          <w:strike/>
        </w:rPr>
        <w:t xml:space="preserve">computerized</w:t>
      </w:r>
      <w:r>
        <w:t>))</w:t>
      </w:r>
      <w:r>
        <w:rPr/>
        <w:t xml:space="preserve">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w:t>
      </w:r>
      <w:r>
        <w:rPr>
          <w:u w:val="single"/>
        </w:rPr>
        <w:t xml:space="preserve">Full a</w:t>
      </w:r>
      <w:r>
        <w:rPr/>
        <w:t xml:space="preserve">ccount number </w:t>
      </w:r>
      <w:r>
        <w:t>((</w:t>
      </w:r>
      <w:r>
        <w:rPr>
          <w:strike/>
        </w:rPr>
        <w:t xml:space="preserve">or</w:t>
      </w:r>
      <w:r>
        <w:t>))</w:t>
      </w:r>
      <w:r>
        <w:rPr>
          <w:u w:val="single"/>
        </w:rPr>
        <w:t xml:space="preserve">,</w:t>
      </w:r>
      <w:r>
        <w:rPr/>
        <w:t xml:space="preserve"> credit or debit card number, </w:t>
      </w:r>
      <w:r>
        <w:t>((</w:t>
      </w:r>
      <w:r>
        <w:rPr>
          <w:strike/>
        </w:rPr>
        <w:t xml:space="preserve">in combination with</w:t>
      </w:r>
      <w:r>
        <w:t>))</w:t>
      </w:r>
      <w:r>
        <w:rPr>
          <w:u w:val="single"/>
        </w:rPr>
        <w:t xml:space="preserve">or</w:t>
      </w:r>
      <w:r>
        <w:rPr/>
        <w:t xml:space="preserve">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 and except under subsection</w:t>
      </w:r>
      <w:r>
        <w:rPr>
          <w:u w:val="single"/>
        </w:rPr>
        <w:t xml:space="preserve">s</w:t>
      </w:r>
      <w:r>
        <w:rPr/>
        <w:t xml:space="preserve"> (8) </w:t>
      </w:r>
      <w:r>
        <w:rPr>
          <w:u w:val="single"/>
        </w:rPr>
        <w:t xml:space="preserve">and (9)</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rPr/>
        <w:t xml:space="preserve">(8)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rPr/>
        <w:t xml:space="preserve">(9) </w:t>
      </w:r>
      <w:r>
        <w:rPr>
          <w:u w:val="single"/>
        </w:rPr>
        <w:t xml:space="preserve">A covered entity under the federal health insurance portability and accountability act of 1996, 42 U.S.C. Sec. 1320d et seq., is deemed to have complied with the notice requirements in subsection (1) of this section if it has complied completely with section 13402(f) of the federal health information technology for economic and clinical health act, Public Law 111-5. This subsection may not be construed to exempt a covered entity from any other provision of this section.</w:t>
      </w:r>
    </w:p>
    <w:p>
      <w:pPr>
        <w:spacing w:before="0" w:after="0" w:line="408" w:lineRule="exact"/>
        <w:ind w:left="0" w:right="0" w:firstLine="576"/>
        <w:jc w:val="left"/>
      </w:pPr>
      <w:r>
        <w:rPr>
          <w:u w:val="single"/>
        </w:rPr>
        <w:t xml:space="preserve">(10)</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u w:val="single"/>
        </w:rPr>
        <w:t xml:space="preserve">(11)</w:t>
      </w:r>
      <w:r>
        <w:rPr/>
        <w:t xml:space="preserve">(a) Any </w:t>
      </w:r>
      <w:r>
        <w:t>((</w:t>
      </w:r>
      <w:r>
        <w:rPr>
          <w:strike/>
        </w:rPr>
        <w:t xml:space="preserve">customer</w:t>
      </w:r>
      <w:r>
        <w:t>))</w:t>
      </w:r>
      <w:r>
        <w:rPr>
          <w:u w:val="single"/>
        </w:rPr>
        <w:t xml:space="preserve">consumer</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rPr>
          <w:u w:val="single"/>
        </w:rPr>
        <w:t xml:space="preserve">person or</w:t>
      </w:r>
      <w:r>
        <w:rPr/>
        <w:t xml:space="preserve"> business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 person or business under this section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(12) Any person or business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person or business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 and</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(13) Any person or business that is required to issue a notification pursuant to this section to more than five hundred Washington residents as a result of a single breach shall electronically submit a single sample copy of that security breach notification, excluding any personally identifiable information, to the attorney general. The person or business shall also provide to the attorney general the number of Washington consumers affected by the breach, or an estimate if the exact number is not known.</w:t>
      </w:r>
    </w:p>
    <w:p>
      <w:pPr>
        <w:spacing w:before="0" w:after="0" w:line="408" w:lineRule="exact"/>
        <w:ind w:left="0" w:right="0" w:firstLine="576"/>
        <w:jc w:val="left"/>
      </w:pPr>
      <w:r>
        <w:rPr>
          <w:u w:val="single"/>
        </w:rPr>
        <w:t xml:space="preserve">(14) Notification to affected consumers and to the attorney general under this section must be made in the most expedient time possible and without unreasonable delay, no more than thirty calendar days after the breach was discovered, consistent with the legitimate needs of law enforcement as provided in subsection (3) of this section, or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(15)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2007 c 197 s 9 are each amended to read as follows:</w:t>
      </w:r>
    </w:p>
    <w:p>
      <w:pPr>
        <w:spacing w:before="0" w:after="0" w:line="408" w:lineRule="exact"/>
        <w:ind w:left="0" w:right="0" w:firstLine="576"/>
        <w:jc w:val="left"/>
      </w:pPr>
      <w:r>
        <w:rPr/>
        <w:t xml:space="preserve">(1)(a) Any agency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u w:val="single"/>
        </w:rPr>
        <w:t xml:space="preserve">Notice is not required if the breach of the security of the system is not reasonably likely to subject consumers to a risk of criminal activity.</w:t>
      </w:r>
    </w:p>
    <w:p>
      <w:pPr>
        <w:spacing w:before="0" w:after="0" w:line="408" w:lineRule="exact"/>
        <w:ind w:left="0" w:right="0" w:firstLine="576"/>
        <w:jc w:val="left"/>
      </w:pPr>
      <w:r>
        <w:rPr/>
        <w:t xml:space="preserve">(b) For purposes of this section, "agency" means the same as in RCW 42.56.010.</w:t>
      </w:r>
    </w:p>
    <w:p>
      <w:pPr>
        <w:spacing w:before="0" w:after="0" w:line="408" w:lineRule="exact"/>
        <w:ind w:left="0" w:right="0" w:firstLine="576"/>
        <w:jc w:val="left"/>
      </w:pPr>
      <w:r>
        <w:rPr/>
        <w:t xml:space="preserve">(2) Any agency that maintains </w:t>
      </w:r>
      <w:r>
        <w:t>((</w:t>
      </w:r>
      <w:r>
        <w:rPr>
          <w:strike/>
        </w:rPr>
        <w:t xml:space="preserve">computerized</w:t>
      </w:r>
      <w:r>
        <w:t>))</w:t>
      </w:r>
      <w:r>
        <w:rPr/>
        <w:t xml:space="preserve"> data that includes personal information that the agency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w:t>
      </w:r>
      <w:r>
        <w:rPr>
          <w:u w:val="single"/>
        </w:rPr>
        <w:t xml:space="preserve">Full a</w:t>
      </w:r>
      <w:r>
        <w:rPr/>
        <w:t xml:space="preserve">ccount number </w:t>
      </w:r>
      <w:r>
        <w:t>((</w:t>
      </w:r>
      <w:r>
        <w:rPr>
          <w:strike/>
        </w:rPr>
        <w:t xml:space="preserve">or</w:t>
      </w:r>
      <w:r>
        <w:t>))</w:t>
      </w:r>
      <w:r>
        <w:rPr>
          <w:u w:val="single"/>
        </w:rPr>
        <w:t xml:space="preserve">,</w:t>
      </w:r>
      <w:r>
        <w:rPr/>
        <w:t xml:space="preserve"> credit or debit card number, </w:t>
      </w:r>
      <w:r>
        <w:t>((</w:t>
      </w:r>
      <w:r>
        <w:rPr>
          <w:strike/>
        </w:rPr>
        <w:t xml:space="preserve">in combination with</w:t>
      </w:r>
      <w:r>
        <w:t>))</w:t>
      </w:r>
      <w:r>
        <w:rPr>
          <w:u w:val="single"/>
        </w:rPr>
        <w:t xml:space="preserve">or</w:t>
      </w:r>
      <w:r>
        <w:rPr/>
        <w:t xml:space="preserve">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 and except under subsection</w:t>
      </w:r>
      <w:r>
        <w:rPr>
          <w:u w:val="single"/>
        </w:rPr>
        <w:t xml:space="preserve">s</w:t>
      </w:r>
      <w:r>
        <w:rPr/>
        <w:t xml:space="preserve"> (8) </w:t>
      </w:r>
      <w:r>
        <w:rPr>
          <w:u w:val="single"/>
        </w:rPr>
        <w:t xml:space="preserve">and (9)</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rPr/>
        <w:t xml:space="preserve">(8)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rPr/>
        <w:t xml:space="preserve">(9) </w:t>
      </w:r>
      <w:r>
        <w:rPr>
          <w:u w:val="single"/>
        </w:rPr>
        <w:t xml:space="preserve">A covered entity under the federal health insurance portability and accountability act of 1996, 42 U.S.C. Sec. 1320d et seq., is deemed to have complied with the notice requirements in subsection (1) of this section if it has complied completely with section 13402(f) of the federal health information technology for economic and clinical health act, Public Law 111-5. This subsection may not be construed to exempt a covered entity from any other provision of this section.</w:t>
      </w:r>
    </w:p>
    <w:p>
      <w:pPr>
        <w:spacing w:before="0" w:after="0" w:line="408" w:lineRule="exact"/>
        <w:ind w:left="0" w:right="0" w:firstLine="576"/>
        <w:jc w:val="left"/>
      </w:pPr>
      <w:r>
        <w:rPr>
          <w:u w:val="single"/>
        </w:rPr>
        <w:t xml:space="preserve">(10)</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u w:val="single"/>
        </w:rPr>
        <w:t xml:space="preserve">(11)</w:t>
      </w:r>
      <w:r>
        <w:rPr/>
        <w:t xml:space="preserve">(a) Any </w:t>
      </w:r>
      <w:r>
        <w:t>((</w:t>
      </w:r>
      <w:r>
        <w:rPr>
          <w:strike/>
        </w:rPr>
        <w:t xml:space="preserve">customer</w:t>
      </w:r>
      <w:r>
        <w:t>))</w:t>
      </w:r>
      <w:r>
        <w:rPr>
          <w:u w:val="single"/>
        </w:rPr>
        <w:t xml:space="preserve">individual</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t>((</w:t>
      </w:r>
      <w:r>
        <w:rPr>
          <w:strike/>
        </w:rPr>
        <w:t xml:space="preserve">business</w:t>
      </w:r>
      <w:r>
        <w:t>))</w:t>
      </w:r>
      <w:r>
        <w:rPr>
          <w:u w:val="single"/>
        </w:rPr>
        <w:t xml:space="preserve">agency</w:t>
      </w:r>
      <w:r>
        <w:rPr/>
        <w:t xml:space="preserve">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An agency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(12) Any agency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agency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(13) Any agency that is required to issue a notification pursuant to this section to more than five hundred Washington residents as a result of a single breach shall electronically submit a single sample copy of that security breach notification, excluding any personally identifiable information, to the attorney general. The agency shall also provide to the attorney general the number of Washington residents affected by the breach, or an estimate if the exact number is not known.</w:t>
      </w:r>
    </w:p>
    <w:p>
      <w:pPr>
        <w:spacing w:before="0" w:after="0" w:line="408" w:lineRule="exact"/>
        <w:ind w:left="0" w:right="0" w:firstLine="576"/>
        <w:jc w:val="left"/>
      </w:pPr>
      <w:r>
        <w:rPr>
          <w:u w:val="single"/>
        </w:rPr>
        <w:t xml:space="preserve">(14) Notification to affected individuals and to the attorney general must be made in the most expedient time possible and without unreasonable delay, no more than thirty calendar days after the breach was discovered, consistent with the legitimate needs of law enforcement as provided in subsection (3) of this section, or any measures necessary to determine the scope of the breach and restore the reasonable integrity of the data system.</w:t>
      </w:r>
    </w:p>
    <w:p/>
    <w:p>
      <w:pPr>
        <w:jc w:val="center"/>
      </w:pPr>
      <w:r>
        <w:rPr>
          <w:b/>
        </w:rPr>
        <w:t>--- END ---</w:t>
      </w:r>
    </w:p>
    <w:sectPr>
      <w:pgNumType w:start="1"/>
      <w:footerReference xmlns:r="http://schemas.openxmlformats.org/officeDocument/2006/relationships" r:id="R56200d91ed2041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a1fc739414078" /><Relationship Type="http://schemas.openxmlformats.org/officeDocument/2006/relationships/footer" Target="/word/footer.xml" Id="R56200d91ed204102" /></Relationships>
</file>