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0d0e8af4847ea" /></Relationships>
</file>

<file path=word/document.xml><?xml version="1.0" encoding="utf-8"?>
<w:document xmlns:w="http://schemas.openxmlformats.org/wordprocessingml/2006/main">
  <w:body>
    <w:p>
      <w:r>
        <w:t>S-2259.1</w:t>
      </w:r>
    </w:p>
    <w:p>
      <w:pPr>
        <w:jc w:val="center"/>
      </w:pPr>
      <w:r>
        <w:t>_______________________________________________</w:t>
      </w:r>
    </w:p>
    <w:p/>
    <w:p>
      <w:pPr>
        <w:jc w:val="center"/>
      </w:pPr>
      <w:r>
        <w:rPr>
          <w:b/>
        </w:rPr>
        <w:t>SECOND SUBSTITUTE SENATE BILL 5105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Padden, Frockt, O'Ban, Fain, Fraser, Pearson, Roach, and Darneille)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46.61.5055, and 46.61.5054;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(Initiative Measure No. 502)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 Deleterious Exotic   Wildlife (RCW 77.15.250(2)(b))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(c) When a minor has been adjudicated a juvenile offender for an offense which, if committed by an adult, would constitute a violation of RCW 46.61.502, 46.61.504, 46.61.520, or 46.61.522, the court shall assess the two hundred </w:t>
      </w:r>
      <w:r>
        <w:rPr>
          <w:u w:val="single"/>
        </w:rPr>
        <w:t xml:space="preserve">fifty</w:t>
      </w:r>
      <w:r>
        <w:rPr/>
        <w:t xml:space="preserve"> dollar fee under (a) of this subsection.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or (c)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w:t>
      </w:r>
    </w:p>
    <w:p/>
    <w:p>
      <w:pPr>
        <w:jc w:val="center"/>
      </w:pPr>
      <w:r>
        <w:rPr>
          <w:b/>
        </w:rPr>
        <w:t>--- END ---</w:t>
      </w:r>
    </w:p>
    <w:sectPr>
      <w:pgNumType w:start="1"/>
      <w:footerReference xmlns:r="http://schemas.openxmlformats.org/officeDocument/2006/relationships" r:id="R4d3d1041e63f4f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f1b6a36cb4b5d" /><Relationship Type="http://schemas.openxmlformats.org/officeDocument/2006/relationships/footer" Target="/word/footer.xml" Id="R4d3d1041e63f4f27" /></Relationships>
</file>