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bdaed0d034127" /></Relationships>
</file>

<file path=word/document.xml><?xml version="1.0" encoding="utf-8"?>
<w:document xmlns:w="http://schemas.openxmlformats.org/wordprocessingml/2006/main">
  <w:body>
    <w:p>
      <w:r>
        <w:t>S-0503.1</w:t>
      </w:r>
    </w:p>
    <w:p>
      <w:pPr>
        <w:jc w:val="center"/>
      </w:pPr>
      <w:r>
        <w:t>_______________________________________________</w:t>
      </w:r>
    </w:p>
    <w:p/>
    <w:p>
      <w:pPr>
        <w:jc w:val="center"/>
      </w:pPr>
      <w:r>
        <w:rPr>
          <w:b/>
        </w:rPr>
        <w:t>SENATE BILL 5333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Litzow, Hill, McCoy, Keiser, and Jayapal</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and use tax exemption for clean alternative fuel vehicles; amending RCW 46.17.323, 82.08.809, and 82.12.809; amending 2012 c 74 ss 11 and 12 (uncodified); adding new sections to chapter 82.44 RCW; adding a new section to chapter 82.32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vehicles will play a critical role in the transportation system of our state's future. The ability for a person to be assured that their vehicle can safely travel across the state is a key component in the continued development of a first-class transportation system. Electric vehicle charging infrastructure must be developed along critical transportation routes to provide citizens a safe and reliable method of travel that will not leave them stranded without adequate charging opportunities. Additionally, electric vehicles will play an important role in our state reaching air quality standards.  The transportation sector is one of the largest air polluters in Washington and the expansion of the use of electric vehicles is a significant component in transitioning our vehicle fleets to a cleaner technology thereby reducing air pollution. Without an adequate electric vehicle charging infrastructure, it will be a difficult and slow transition. Our state needs to invest in the development of this critical transportation infrastructure to bring the vehicle fleet into the twenty-first century.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bank is created and must be administered by the department of transportation. The purpose of the infrastructure bank is to provide low-interest loans or grants to public or private entities to install electric vehicle charging infrastructure along public highways of the state. The department may develop rules to administer the program and set the loan repayment or grant terms.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electric vehicle fee collected under RCW 46.17.323 and the sales and use tax collected pursuant to chapters 82.08 and 82.12 RCW on electric vehicles must be deposited into the account. Principal and interest payments made on loans from the account must be deposited into the account. Moneys in the account must be available for purposes specified in section 2 of this act. Expenditures from the transportation infrastructure account are subject to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an electric vehicle that uses propulsion units powered solely by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w:t>
      </w:r>
      <w:r>
        <w:rPr/>
        <w:noBreakHyphen/>
      </w:r>
      <w:r>
        <w:rPr/>
        <w:t xml:space="preserve">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w:t>
      </w:r>
      <w:r>
        <w:t>((</w:t>
      </w:r>
      <w:r>
        <w:rPr>
          <w:strike/>
        </w:rPr>
        <w:t xml:space="preserve">(a)</w:t>
      </w:r>
      <w:r>
        <w:t>))</w:t>
      </w:r>
      <w:r>
        <w:rPr/>
        <w:t xml:space="preserve"> The fee under this section is imposed to provide </w:t>
      </w:r>
      <w:r>
        <w:t>((</w:t>
      </w:r>
      <w:r>
        <w:rPr>
          <w:strike/>
        </w:rPr>
        <w:t xml:space="preserve">funds to mitigate the impact of vehicles on state roads and highways and for the purpose of evaluating the feasibility of transitioning from a revenue collection system based on fuel taxes to a road user assessment system</w:t>
      </w:r>
      <w:r>
        <w:t>))</w:t>
      </w:r>
      <w:r>
        <w:rPr>
          <w:u w:val="single"/>
        </w:rPr>
        <w:t xml:space="preserve">a funding source to assist in the development of the electric vehicle charging infrastructure</w:t>
      </w:r>
      <w:r>
        <w:rPr/>
        <w:t xml:space="preserve">, and is separate and distinct from other vehicle license fees. Proceeds from the fee must be </w:t>
      </w:r>
      <w:r>
        <w:t>((</w:t>
      </w:r>
      <w:r>
        <w:rPr>
          <w:strike/>
        </w:rPr>
        <w:t xml:space="preserve">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strike/>
        </w:rPr>
        <w:t xml:space="preserve">(i) Seventy percent to the motor vehicle fund created in RCW 46.68.070; </w:t>
      </w:r>
    </w:p>
    <w:p>
      <w:pPr>
        <w:spacing w:before="0" w:after="0" w:line="408" w:lineRule="exact"/>
        <w:ind w:left="0" w:right="0" w:firstLine="576"/>
        <w:jc w:val="left"/>
      </w:pPr>
      <w:r>
        <w:rPr>
          <w:strike/>
        </w:rPr>
        <w:t xml:space="preserve">(ii) Fifteen percent to the transportation improvement account created in RCW 47.26.084; and</w:t>
      </w:r>
    </w:p>
    <w:p>
      <w:pPr>
        <w:spacing w:before="0" w:after="0" w:line="408" w:lineRule="exact"/>
        <w:ind w:left="0" w:right="0" w:firstLine="576"/>
        <w:jc w:val="left"/>
      </w:pPr>
      <w:r>
        <w:rPr>
          <w:strike/>
        </w:rPr>
        <w:t xml:space="preserve">(iii) Fifteen percent to the rural arterial trust account created in RCW 36.79.020</w:t>
      </w:r>
      <w:r>
        <w:t>))</w:t>
      </w:r>
      <w:r>
        <w:rPr>
          <w:u w:val="single"/>
        </w:rPr>
        <w:t xml:space="preserve">deposited into the electric vehicle charging infrastructure account created in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6 and 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clean alternative fuel vehicles in order to reduce the price charged to customers for clean alternative fuel vehicles.</w:t>
      </w:r>
    </w:p>
    <w:p>
      <w:pPr>
        <w:spacing w:before="0" w:after="0" w:line="408" w:lineRule="exact"/>
        <w:ind w:left="0" w:right="0" w:firstLine="576"/>
        <w:jc w:val="left"/>
      </w:pPr>
      <w:r>
        <w:rPr/>
        <w:t xml:space="preserve">(3) If a review finds that the number of clean alternative fuel vehicles in Washington have increased by twenty percent compared to the number at the time of enactment,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w:t>
      </w:r>
      <w:r>
        <w:t>((</w:t>
      </w:r>
      <w:r>
        <w:rPr>
          <w:strike/>
        </w:rPr>
        <w:t xml:space="preserve">sales</w:t>
      </w:r>
      <w:r>
        <w:t>))</w:t>
      </w:r>
      <w:r>
        <w:rPr>
          <w:u w:val="single"/>
        </w:rPr>
        <w:t xml:space="preserve">the first forty-five thousand dollars in selling price</w:t>
      </w:r>
      <w:r>
        <w:rPr/>
        <w:t xml:space="preserv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w:t>
      </w:r>
      <w:r>
        <w:t>((</w:t>
      </w:r>
      <w:r>
        <w:rPr>
          <w:strike/>
        </w:rPr>
        <w:t xml:space="preserve">sales</w:t>
      </w:r>
      <w:r>
        <w:t>))</w:t>
      </w:r>
      <w:r>
        <w:rPr>
          <w:u w:val="single"/>
        </w:rPr>
        <w:t xml:space="preserve">the first forty-five thousand dollars in selling price</w:t>
      </w:r>
      <w:r>
        <w:rPr/>
        <w:t xml:space="preserve">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t>((</w:t>
      </w:r>
      <w:r>
        <w:rPr>
          <w:strike/>
        </w:rPr>
        <w:t xml:space="preserve">2015</w:t>
      </w:r>
      <w:r>
        <w:t>))</w:t>
      </w:r>
      <w:r>
        <w:rPr>
          <w:u w:val="single"/>
        </w:rPr>
        <w:t xml:space="preserve">2021</w:t>
      </w:r>
      <w:r>
        <w:rPr/>
        <w:t xml:space="preserve">, the provisions of this chapter do not apply in respect to </w:t>
      </w:r>
      <w:r>
        <w:rPr>
          <w:u w:val="single"/>
        </w:rPr>
        <w:t xml:space="preserve">the first forty-five thousand dollars of value on</w:t>
      </w:r>
      <w:r>
        <w:rPr/>
        <w:t xml:space="preserve"> the use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t>((</w:t>
      </w:r>
      <w:r>
        <w:rPr>
          <w:strike/>
        </w:rPr>
        <w:t xml:space="preserve">2015</w:t>
      </w:r>
      <w:r>
        <w:t>))</w:t>
      </w:r>
      <w:r>
        <w:rPr>
          <w:u w:val="single"/>
        </w:rPr>
        <w:t xml:space="preserve">2021</w:t>
      </w:r>
      <w:r>
        <w:rPr/>
        <w:t xml:space="preserve">, the provisions of this chapter do not apply to </w:t>
      </w:r>
      <w:r>
        <w:rPr>
          <w:u w:val="single"/>
        </w:rPr>
        <w:t xml:space="preserve">the first forty-five thousand dollars of value on</w:t>
      </w:r>
      <w:r>
        <w:rPr/>
        <w:t xml:space="preserve">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w:t>
      </w:r>
      <w:r>
        <w:rPr>
          <w:u w:val="single"/>
        </w:rPr>
        <w:t xml:space="preserve">the first forty-five thousand dollars of value on</w:t>
      </w:r>
      <w:r>
        <w:rPr/>
        <w:t xml:space="preserve"> the use, on or after July 1, </w:t>
      </w:r>
      <w:r>
        <w:t>((</w:t>
      </w:r>
      <w:r>
        <w:rPr>
          <w:strike/>
        </w:rPr>
        <w:t xml:space="preserve">2015</w:t>
      </w:r>
      <w:r>
        <w:t>))</w:t>
      </w:r>
      <w:r>
        <w:rPr>
          <w:u w:val="single"/>
        </w:rPr>
        <w:t xml:space="preserve">2021</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u w:val="single"/>
        </w:rPr>
        <w:t xml:space="preserve">2021</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Each calendar quarter the department must determine the amount of the state sales tax collected from the sales of clean alternative vehicles powered by electricity. The month following each calendar quarter the department must notify the state treasurer of the amount of sales tax collected for the calendar quarter and the treasurer must transfer the amount from the general fund into the electric vehicle charging infrastructure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amended to read as follows:</w:t>
      </w:r>
    </w:p>
    <w:p>
      <w:pPr>
        <w:spacing w:before="0" w:after="0" w:line="408" w:lineRule="exact"/>
        <w:ind w:left="0" w:right="0" w:firstLine="576"/>
        <w:jc w:val="left"/>
      </w:pPr>
      <w:r>
        <w:t>((</w:t>
      </w:r>
      <w:r>
        <w:rPr>
          <w:strike/>
        </w:rPr>
        <w:t xml:space="preserve">Section 10 of this act expires</w:t>
      </w:r>
      <w:r>
        <w:t>))</w:t>
      </w:r>
      <w:r>
        <w:rPr>
          <w:u w:val="single"/>
        </w:rPr>
        <w:t xml:space="preserve">Section 4, chapter ..., Laws of 2015 (section 4 of this act) and section 10, chapter 74, Laws of 2012 expire</w:t>
      </w:r>
      <w:r>
        <w:rPr/>
        <w:t xml:space="preserve"> on the effective date of legislation enacted by the legislature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12</w:t>
      </w:r>
      <w:r>
        <w:rPr/>
        <w:t xml:space="preserve"> (uncodified) is amended to read as follows:</w:t>
      </w:r>
    </w:p>
    <w:p>
      <w:pPr>
        <w:spacing w:before="0" w:after="0" w:line="408" w:lineRule="exact"/>
        <w:ind w:left="0" w:right="0" w:firstLine="576"/>
        <w:jc w:val="left"/>
      </w:pPr>
      <w:r>
        <w:rPr/>
        <w:t xml:space="preserve">The department of licensing must provide written notice of the expiration date of </w:t>
      </w:r>
      <w:r>
        <w:t>((</w:t>
      </w:r>
      <w:r>
        <w:rPr>
          <w:strike/>
        </w:rPr>
        <w:t xml:space="preserve">section 10 of this act</w:t>
      </w:r>
      <w:r>
        <w:t>))</w:t>
      </w:r>
      <w:r>
        <w:rPr>
          <w:u w:val="single"/>
        </w:rPr>
        <w:t xml:space="preserve">section 4, chapter ..., Laws of 2015 (section 4 of this act) and section 10, chapter 74, Laws of 2012</w:t>
      </w:r>
      <w:r>
        <w:rPr/>
        <w:t xml:space="preserve">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1bb94ef9606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004c5ad5f4670" /><Relationship Type="http://schemas.openxmlformats.org/officeDocument/2006/relationships/footer" Target="/word/footer.xml" Id="Rb1bb94ef96064d04" /></Relationships>
</file>