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bd9edc3abe445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Hobbs, Hatfield, Warnick, Honeyford, and Pearson)</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demonstration projects for preserving agricultural land and public infrastructure in flood plains; and adding a new section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state conservation commission and the departments of ecology, agriculture, fish and wildlife, and natural resources work together cooperatively, efficiently, and productively to facilitate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legislature finds that floodplain management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 stakeholder group consisting of the departments of agriculture, natural resources, fish and wildlife, and ecology, local and statewide agricultural organizations,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 The departments must also consult with and obtain the views of the federally recognized tribes that may be affected by each pilot project.</w:t>
      </w:r>
    </w:p>
    <w:p>
      <w:pPr>
        <w:spacing w:before="0" w:after="0" w:line="408" w:lineRule="exact"/>
        <w:ind w:left="0" w:right="0" w:firstLine="576"/>
        <w:jc w:val="left"/>
      </w:pPr>
      <w:r>
        <w:rPr/>
        <w:t xml:space="preserve">(b) In developing and assessing these demonstration projects, the departments must examine sediment management conducted in the Fraser river, British Columbia, Canada and include any potentially applicable practices in the demonstration projects.</w:t>
      </w:r>
    </w:p>
    <w:p>
      <w:pPr>
        <w:spacing w:before="0" w:after="0" w:line="408" w:lineRule="exact"/>
        <w:ind w:left="0" w:right="0" w:firstLine="576"/>
        <w:jc w:val="left"/>
      </w:pPr>
      <w:r>
        <w:rPr/>
        <w:t xml:space="preserve">(c) The departments must: (i) Examine and find whether and how the Fraser river experience applies to the goals of this act; and (ii) set benchmarks and a timetable for progress toward achievement of the goals of this act.</w:t>
      </w:r>
    </w:p>
    <w:p>
      <w:pPr>
        <w:spacing w:before="0" w:after="0" w:line="408" w:lineRule="exact"/>
        <w:ind w:left="0" w:right="0" w:firstLine="576"/>
        <w:jc w:val="left"/>
      </w:pPr>
      <w:r>
        <w:rPr/>
        <w:t xml:space="preserve">(d)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The departments must report to the legislative committees with oversight of agriculture, water, rural economic development, ecology, fish and wildlife, and natural resources by December 31, 2015, on: (a) Their examination and findings of the applicability of the Fraser river experience to the goals of this act; (b) their progress toward setting benchmarks and meeting the stakeholder group's timetable; (c) any decisions made in assessing the projects; and (d) agency recommendations for funding of the projects from federal grants, federal loans, state grants and loans, and private donations, or if other funding sources are not available or complete, submitting the three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3b05f9c3af0b4d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bdf3a654aa46e5" /><Relationship Type="http://schemas.openxmlformats.org/officeDocument/2006/relationships/footer" Target="/word/footer.xml" Id="R3b05f9c3af0b4d7d" /></Relationships>
</file>