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2d54e942cf4f61" /></Relationships>
</file>

<file path=word/document.xml><?xml version="1.0" encoding="utf-8"?>
<w:document xmlns:w="http://schemas.openxmlformats.org/wordprocessingml/2006/main">
  <w:body>
    <w:p>
      <w:r>
        <w:t>S-0945.2</w:t>
      </w:r>
    </w:p>
    <w:p>
      <w:pPr>
        <w:jc w:val="center"/>
      </w:pPr>
      <w:r>
        <w:t>_______________________________________________</w:t>
      </w:r>
    </w:p>
    <w:p/>
    <w:p>
      <w:pPr>
        <w:jc w:val="center"/>
      </w:pPr>
      <w:r>
        <w:rPr>
          <w:b/>
        </w:rPr>
        <w:t>SENATE BILL 5626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Jayapal, Keiser, Conway, Kohl-Welles, and Hasegawa</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detailed enrollment data for the health benefit exchange; amending RCW 48.43.039; and adding a new section to chapter 43.71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must capture detailed enrollment and demographic data for enrollment processed for qualified health plans and medicaid plans, and post monthly enrollment reports to the web page. Detailed enrollment information must include the following statewide and county-level enrollment for qualified health plans and medicaid: Enrollment by income bands measured by federal poverty level, 0-138%, 138-150%, 150-200%, 200-250%, 250-400%, and above; enrollment by county, by health plan, and by gender, race, language, and age.</w:t>
      </w:r>
    </w:p>
    <w:p>
      <w:pPr>
        <w:spacing w:before="0" w:after="0" w:line="408" w:lineRule="exact"/>
        <w:ind w:left="0" w:right="0" w:firstLine="576"/>
        <w:jc w:val="left"/>
      </w:pPr>
      <w:r>
        <w:rPr/>
        <w:t xml:space="preserve">(2) The exchange must also provide this detail for reports on changes that cause medicaid and health benefit exchange plan enrollees to lose eligibility or move between coverage as follows:</w:t>
      </w:r>
    </w:p>
    <w:p>
      <w:pPr>
        <w:spacing w:before="0" w:after="0" w:line="408" w:lineRule="exact"/>
        <w:ind w:left="0" w:right="0" w:firstLine="576"/>
        <w:jc w:val="left"/>
      </w:pPr>
      <w:r>
        <w:rPr/>
        <w:t xml:space="preserve">(a) Monthly reports that detail the movement of enrollment between health benefit exchange plans and medicaid based on contributing factors that can be determined from health benefit exchange data including pregnancy, family and individual income changes, and other changes of circumstances.</w:t>
      </w:r>
    </w:p>
    <w:p>
      <w:pPr>
        <w:spacing w:before="0" w:after="0" w:line="408" w:lineRule="exact"/>
        <w:ind w:left="0" w:right="0" w:firstLine="576"/>
        <w:jc w:val="left"/>
      </w:pPr>
      <w:r>
        <w:rPr/>
        <w:t xml:space="preserve">(b) Twice yearly reports, end of second and fourth quarter, that analyze enrollment changes using survey or additional data, which must provide information about movement of enrollment between health benefit exchange plans and medicaid and gaps in coverage based on contributing factors that include incarceration, issues with affordability, and offers of employer-sponsored insurance. All survey and other primary data collection activities used to provide information must be representative of the Washington state residents and priority subpopulations (such as county, race/ethnicity, age, etc.) through the use of appropriate sampling methods.</w:t>
      </w:r>
    </w:p>
    <w:p>
      <w:pPr>
        <w:spacing w:before="0" w:after="0" w:line="408" w:lineRule="exact"/>
        <w:ind w:left="0" w:right="0" w:firstLine="576"/>
        <w:jc w:val="left"/>
      </w:pPr>
      <w:r>
        <w:rPr/>
        <w:t xml:space="preserve">(3) If the exchange discontinues premium aggregation and direct billing of consumers, the exchange must ensure the qualified health plans report data back to the exchange on enrollees that may enter the grace period as defined in RCW 48.43.039 and P.L. 111-148 of 2010,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2014 c 84 s 3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 </w:t>
      </w:r>
      <w:r>
        <w:t>((</w:t>
      </w:r>
      <w:r>
        <w:rPr>
          <w:strike/>
        </w:rPr>
        <w:t xml:space="preserve">and</w:t>
      </w:r>
      <w:r>
        <w:t>))</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w:t>
      </w:r>
      <w:r>
        <w:rPr>
          <w:u w:val="single"/>
        </w:rPr>
        <w:t xml:space="preserve">; and</w:t>
      </w:r>
    </w:p>
    <w:p>
      <w:pPr>
        <w:spacing w:before="0" w:after="0" w:line="408" w:lineRule="exact"/>
        <w:ind w:left="0" w:right="0" w:firstLine="576"/>
        <w:jc w:val="left"/>
      </w:pPr>
      <w:r>
        <w:rPr>
          <w:u w:val="single"/>
        </w:rPr>
        <w:t xml:space="preserve">(c) Notify the health benefit exchange of enrollees in a grace period</w:t>
      </w:r>
      <w:r>
        <w:rPr/>
        <w:t xml:space="preserve">.</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rPr/>
        <w:t xml:space="preserve">(4)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
      <w:pPr>
        <w:jc w:val="center"/>
      </w:pPr>
      <w:r>
        <w:rPr>
          <w:b/>
        </w:rPr>
        <w:t>--- END ---</w:t>
      </w:r>
    </w:p>
    <w:sectPr>
      <w:pgNumType w:start="1"/>
      <w:footerReference xmlns:r="http://schemas.openxmlformats.org/officeDocument/2006/relationships" r:id="R756bf2e34a0c41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1dc53d9ef46dc" /><Relationship Type="http://schemas.openxmlformats.org/officeDocument/2006/relationships/footer" Target="/word/footer.xml" Id="R756bf2e34a0c4157" /></Relationships>
</file>