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4c6e8208547c8" /></Relationships>
</file>

<file path=word/document.xml><?xml version="1.0" encoding="utf-8"?>
<w:document xmlns:w="http://schemas.openxmlformats.org/wordprocessingml/2006/main">
  <w:body>
    <w:p>
      <w:r>
        <w:t>S-0189.1</w:t>
      </w:r>
    </w:p>
    <w:p>
      <w:pPr>
        <w:jc w:val="center"/>
      </w:pPr>
      <w:r>
        <w:t>_______________________________________________</w:t>
      </w:r>
    </w:p>
    <w:p/>
    <w:p>
      <w:pPr>
        <w:jc w:val="center"/>
      </w:pPr>
      <w:r>
        <w:rPr>
          <w:b/>
        </w:rPr>
        <w:t>SENATE BILL 5671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O'Ban, Braun, and Angel</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union dues by partial public employees; amending RCW 41.56.122, 41.56.113, 74.39A.270, 41.56.028, 41.56.029, and 41.56.510;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w:t>
      </w:r>
      <w:r>
        <w:rPr>
          <w:u w:val="single"/>
        </w:rPr>
        <w:t xml:space="preserve">, except as prohibited by subsection (3) of this section</w:t>
      </w:r>
      <w:r>
        <w:rPr/>
        <w:t xml:space="preserve">: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(3) A collective bargaining agreement involving workers who are considered public employees solely for the purposes of collective bargaining may not require membership in a bargaining representative, contain a union security clause, or require payment of any fees to a bargaining representative as a condition of employment or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rPr>
          <w:u w:val="single"/>
        </w:rPr>
        <w:t xml:space="preserve">voluntary</w:t>
      </w:r>
      <w:r>
        <w:rPr/>
        <w:t xml:space="preserv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w:t>
      </w:r>
      <w:r>
        <w:t>((</w:t>
      </w:r>
      <w:r>
        <w:rPr>
          <w:strike/>
        </w:rPr>
        <w:t xml:space="preserve">(c)</w:t>
      </w:r>
      <w:r>
        <w:t>))</w:t>
      </w:r>
      <w:r>
        <w:rPr>
          <w:u w:val="single"/>
        </w:rPr>
        <w:t xml:space="preserve">(b)</w:t>
      </w:r>
      <w:r>
        <w:rPr/>
        <w:t xml:space="preserve"> of this subsection, deduct from the payments to an individual provider, a family child care provider, an adult family home provider, or a language access provider </w:t>
      </w:r>
      <w:r>
        <w:rPr>
          <w:u w:val="single"/>
        </w:rPr>
        <w:t xml:space="preserve">who is a member of the exclusive bargaining representative</w:t>
      </w:r>
      <w:r>
        <w:rPr/>
        <w:t xml:space="preserv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w:t>
      </w:r>
      <w:r>
        <w:t>((</w:t>
      </w:r>
      <w:r>
        <w:rPr>
          <w:strike/>
        </w:rPr>
        <w:t xml:space="preserve">If the governor and the exclusive bargaining representative of a bargaining unit of individual providers, family child care providers, adult family home providers, or language access providers enter into a collective bargaining agreement that:</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(a)(i)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strike/>
        </w:rPr>
        <w:t xml:space="preserve">(c)</w:t>
      </w:r>
      <w:r>
        <w:t>))</w:t>
      </w:r>
      <w:r>
        <w:rPr/>
        <w:t xml:space="preserve">(i)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w:t>
      </w:r>
      <w:r>
        <w:t>))</w:t>
      </w:r>
      <w:r>
        <w:rPr>
          <w:u w:val="single"/>
        </w:rPr>
        <w:t xml:space="preserve">(c)</w:t>
      </w:r>
      <w:r>
        <w:rPr/>
        <w:t xml:space="preserve"> The governor and the exclusive bargaining representative of a bargaining unit of family child care providers may not enter into a collective bargaining agreement that contains a union security provision </w:t>
      </w:r>
      <w:r>
        <w:t>((</w:t>
      </w:r>
      <w:r>
        <w:rPr>
          <w:strike/>
        </w:rPr>
        <w:t xml:space="preserve">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r>
        <w:rPr/>
        <w:t xml:space="preserve">.</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Upon the </w:t>
      </w:r>
      <w:r>
        <w:rPr>
          <w:u w:val="single"/>
        </w:rPr>
        <w:t xml:space="preserve">voluntary</w:t>
      </w:r>
      <w:r>
        <w:rPr/>
        <w:t xml:space="preserv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u w:val="single"/>
        </w:rPr>
        <w:t xml:space="preserve">(a)</w:t>
      </w:r>
      <w:r>
        <w:rPr/>
        <w:t xml:space="preserve"> The monthly amount of dues as certified by the secretary of the exclusive bargaining representative be deducted from the payments to </w:t>
      </w:r>
      <w:r>
        <w:t>((</w:t>
      </w:r>
      <w:r>
        <w:rPr>
          <w:strike/>
        </w:rPr>
        <w:t xml:space="preserve">the</w:t>
      </w:r>
      <w:r>
        <w:t>))</w:t>
      </w:r>
      <w:r>
        <w:rPr/>
        <w:t xml:space="preserve"> language access provider</w:t>
      </w:r>
      <w:r>
        <w:rPr>
          <w:u w:val="single"/>
        </w:rPr>
        <w:t xml:space="preserve">s who are members of the exclusive bargaining representative</w:t>
      </w:r>
      <w:r>
        <w:rPr/>
        <w:t xml:space="preserve"> and transmitted to the treasurer of the exclusive bargaining representative; and</w:t>
      </w:r>
    </w:p>
    <w:p>
      <w:pPr>
        <w:spacing w:before="0" w:after="0" w:line="408" w:lineRule="exact"/>
        <w:ind w:left="0" w:right="0" w:firstLine="576"/>
        <w:jc w:val="left"/>
      </w:pPr>
      <w:r>
        <w:t>((</w:t>
      </w:r>
      <w:r>
        <w:rPr>
          <w:strike/>
        </w:rPr>
        <w:t xml:space="preserve">(ii)</w:t>
      </w:r>
      <w:r>
        <w:t>))</w:t>
      </w:r>
      <w:r>
        <w:rPr>
          <w:u w:val="single"/>
        </w:rPr>
        <w:t xml:space="preserve">(b)</w:t>
      </w:r>
      <w:r>
        <w:rPr/>
        <w:t xml:space="preserve"> A record showing that dues have been deducted as specified in (a)</w:t>
      </w:r>
      <w:r>
        <w:t>((</w:t>
      </w:r>
      <w:r>
        <w:rPr>
          <w:strike/>
        </w:rPr>
        <w:t xml:space="preserve">(i)</w:t>
      </w:r>
      <w:r>
        <w:t>))</w:t>
      </w:r>
      <w:r>
        <w:rPr/>
        <w:t xml:space="preserve">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Individual providers are not required to pay any dues or fees to a bargaining representative as a condition of receiving any state funds or serving consumers receiving state funds.</w:t>
      </w:r>
    </w:p>
    <w:p>
      <w:pPr>
        <w:spacing w:before="0" w:after="0" w:line="408" w:lineRule="exact"/>
        <w:ind w:left="0" w:right="0" w:firstLine="576"/>
        <w:jc w:val="left"/>
      </w:pPr>
      <w:r>
        <w:rPr>
          <w:u w:val="single"/>
        </w:rPr>
        <w:t xml:space="preserve">(10) Individual providers are permitted to freely choose to join or resign membership in a bargaining representative at any time.</w:t>
      </w:r>
    </w:p>
    <w:p>
      <w:pPr>
        <w:spacing w:before="0" w:after="0" w:line="408" w:lineRule="exact"/>
        <w:ind w:left="0" w:right="0" w:firstLine="576"/>
        <w:jc w:val="left"/>
      </w:pPr>
      <w:r>
        <w:rPr>
          <w:u w:val="single"/>
        </w:rPr>
        <w:t xml:space="preserve">(11) The state may not deduct dues from individual providers on behalf of a bargaining representative unless the individual provider</w:t>
      </w:r>
    </w:p>
    <w:p>
      <w:pPr>
        <w:spacing w:before="0" w:after="0" w:line="408" w:lineRule="exact"/>
        <w:ind w:left="0" w:right="0" w:firstLine="0"/>
        <w:jc w:val="left"/>
      </w:pPr>
      <w:r>
        <w:rPr>
          <w:u w:val="single"/>
        </w:rPr>
        <w:t xml:space="preserve">has voluntarily provided signed, written authorization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0" w:after="0" w:line="408" w:lineRule="exact"/>
        <w:ind w:left="0" w:right="0" w:firstLine="576"/>
        <w:jc w:val="left"/>
      </w:pPr>
      <w:r>
        <w:rPr>
          <w:u w:val="single"/>
        </w:rPr>
        <w:t xml:space="preserve">(12) Family child care providers are not required to pay any dues or fees to a bargaining representative as a condition of receiving any state funds or providing services to consumers receiving state funds.</w:t>
      </w:r>
    </w:p>
    <w:p>
      <w:pPr>
        <w:spacing w:before="0" w:after="0" w:line="408" w:lineRule="exact"/>
        <w:ind w:left="0" w:right="0" w:firstLine="576"/>
        <w:jc w:val="left"/>
      </w:pPr>
      <w:r>
        <w:rPr>
          <w:u w:val="single"/>
        </w:rPr>
        <w:t xml:space="preserve">(13) Family child care providers are permitted to freely choose to join or resign membership in a bargaining representative at any time.</w:t>
      </w:r>
    </w:p>
    <w:p>
      <w:pPr>
        <w:spacing w:before="0" w:after="0" w:line="408" w:lineRule="exact"/>
        <w:ind w:left="0" w:right="0" w:firstLine="576"/>
        <w:jc w:val="left"/>
      </w:pPr>
      <w:r>
        <w:rPr>
          <w:u w:val="single"/>
        </w:rPr>
        <w:t xml:space="preserve">(14) The state may not deduct dues from family child care providers on behalf of a bargaining representative unless the family child care provider has voluntarily provided signed, written authorization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(11) Adult family home providers are not required to pay any dues or fees to a bargaining representative as a condition of receiving any state funds or providing services to consumers receiving state funds.</w:t>
      </w:r>
    </w:p>
    <w:p>
      <w:pPr>
        <w:spacing w:before="0" w:after="0" w:line="408" w:lineRule="exact"/>
        <w:ind w:left="0" w:right="0" w:firstLine="576"/>
        <w:jc w:val="left"/>
      </w:pPr>
      <w:r>
        <w:rPr>
          <w:u w:val="single"/>
        </w:rPr>
        <w:t xml:space="preserve">(12) Adult family home providers are permitted to freely choose to join or resign membership in a bargaining representative at any time.</w:t>
      </w:r>
    </w:p>
    <w:p>
      <w:pPr>
        <w:spacing w:before="0" w:after="0" w:line="408" w:lineRule="exact"/>
        <w:ind w:left="0" w:right="0" w:firstLine="576"/>
        <w:jc w:val="left"/>
      </w:pPr>
      <w:r>
        <w:rPr>
          <w:u w:val="single"/>
        </w:rPr>
        <w:t xml:space="preserve">(13) The state may not deduct dues from adult family home providers on behalf of a bargaining representative unless the adult family home provider has provided signed, written authorization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Language access providers are not required to pay any dues or fees to a bargaining representative as a condition of receiving any state funds or providing services to consumers receiving state funds.</w:t>
      </w:r>
    </w:p>
    <w:p>
      <w:pPr>
        <w:spacing w:before="0" w:after="0" w:line="408" w:lineRule="exact"/>
        <w:ind w:left="0" w:right="0" w:firstLine="576"/>
        <w:jc w:val="left"/>
      </w:pPr>
      <w:r>
        <w:rPr>
          <w:u w:val="single"/>
        </w:rPr>
        <w:t xml:space="preserve">(13) Language access providers are permitted to freely choose to join or resign membership in a bargaining representative at any time.</w:t>
      </w:r>
    </w:p>
    <w:p>
      <w:pPr>
        <w:spacing w:before="0" w:after="0" w:line="408" w:lineRule="exact"/>
        <w:ind w:left="0" w:right="0" w:firstLine="576"/>
        <w:jc w:val="left"/>
      </w:pPr>
      <w:r>
        <w:rPr>
          <w:u w:val="single"/>
        </w:rPr>
        <w:t xml:space="preserve">(14) The state may not deduct dues from language access providers on behalf of a bargaining representative unless the language access provider has provided signed, written authorization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d34d4913664d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d39812d3b443d" /><Relationship Type="http://schemas.openxmlformats.org/officeDocument/2006/relationships/footer" Target="/word/footer.xml" Id="R44d34d4913664da2" /></Relationships>
</file>