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c177c0ac384038" /></Relationships>
</file>

<file path=word/document.xml><?xml version="1.0" encoding="utf-8"?>
<w:document xmlns:w="http://schemas.openxmlformats.org/wordprocessingml/2006/main">
  <w:body>
    <w:p>
      <w:r>
        <w:t>S-1825.1</w:t>
      </w:r>
    </w:p>
    <w:p>
      <w:pPr>
        <w:jc w:val="center"/>
      </w:pPr>
      <w:r>
        <w:t>_______________________________________________</w:t>
      </w:r>
    </w:p>
    <w:p/>
    <w:p>
      <w:pPr>
        <w:jc w:val="center"/>
      </w:pPr>
      <w:r>
        <w:rPr>
          <w:b/>
        </w:rPr>
        <w:t>SUBSTITUTE SENATE BILL 5772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Conway, Frockt, and Bailey; by request of Department of Health)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physicians and physician assistants to provide requested demographic information at the time of license renewal; and amending RCW 18.71.080, 18.71A.020, 18.57.050, and 18.57A.020.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050</w:t>
      </w:r>
      <w:r>
        <w:rPr/>
        <w:t xml:space="preserve"> and 1996 c 191 s 36 are each amended to read as follows:</w:t>
      </w:r>
    </w:p>
    <w:p>
      <w:pPr>
        <w:spacing w:before="0" w:after="0" w:line="408" w:lineRule="exact"/>
        <w:ind w:left="0" w:right="0" w:firstLine="576"/>
        <w:jc w:val="left"/>
      </w:pPr>
      <w:r>
        <w:rPr>
          <w:u w:val="single"/>
        </w:rPr>
        <w:t xml:space="preserve">(1)</w:t>
      </w:r>
      <w:r>
        <w:rPr/>
        <w:t xml:space="preserve"> The board may establish rules and regulations governing mandatory continuing education requirements which shall be met by physicians applying for renewal of licenses. Administrative procedures, administrative requirements, and fees for applications and renewals shall be established as provided in RCW 43.70.250 and 43.70.280. The board shall determine prerequisites for relicensing.</w:t>
      </w:r>
    </w:p>
    <w:p>
      <w:pPr>
        <w:spacing w:before="0" w:after="0" w:line="408" w:lineRule="exact"/>
        <w:ind w:left="0" w:right="0" w:firstLine="576"/>
        <w:jc w:val="left"/>
      </w:pPr>
      <w:r>
        <w:rPr>
          <w:u w:val="single"/>
        </w:rPr>
        <w:t xml:space="preserve">(2)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1999 c 127 s 2 are each amended to read as follows:</w:t>
      </w:r>
    </w:p>
    <w:p>
      <w:pPr>
        <w:spacing w:before="0" w:after="0" w:line="408" w:lineRule="exact"/>
        <w:ind w:left="0" w:right="0" w:firstLine="576"/>
        <w:jc w:val="left"/>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spacing w:before="0" w:after="0" w:line="408" w:lineRule="exact"/>
        <w:ind w:left="0" w:right="0" w:firstLine="576"/>
        <w:jc w:val="left"/>
      </w:pPr>
      <w:r>
        <w:rPr/>
        <w:t xml:space="preserve">(2)(a) The board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an osteopathic physician assistant shall be limited to the performance of those services for which he or she is trained; and</w:t>
      </w:r>
    </w:p>
    <w:p>
      <w:pPr>
        <w:spacing w:before="0" w:after="0" w:line="408" w:lineRule="exact"/>
        <w:ind w:left="0" w:right="0" w:firstLine="576"/>
        <w:jc w:val="left"/>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spacing w:before="0" w:after="0" w:line="408" w:lineRule="exact"/>
        <w:ind w:left="0" w:right="0" w:firstLine="576"/>
        <w:jc w:val="left"/>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twenty-five dollars per year may be charged on each license renewal or issuance of a new license to be collected by the department of health for physician assistant participation in an impaired practitioner program. Each applicant shall furnish proof satisfactory to the board of the following:</w:t>
      </w:r>
    </w:p>
    <w:p>
      <w:pPr>
        <w:spacing w:before="0" w:after="0" w:line="408" w:lineRule="exact"/>
        <w:ind w:left="0" w:right="0" w:firstLine="576"/>
        <w:jc w:val="left"/>
      </w:pPr>
      <w:r>
        <w:rPr/>
        <w:t xml:space="preserve">(a) That the applicant has completed an accredited physician assistant program approved by the board and is eligible to take the examination approved by the board;</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spacing w:before="0" w:after="0" w:line="408" w:lineRule="exact"/>
        <w:ind w:left="0" w:right="0" w:firstLine="576"/>
        <w:jc w:val="left"/>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spacing w:before="0" w:after="0" w:line="408" w:lineRule="exact"/>
        <w:ind w:left="0" w:right="0" w:firstLine="576"/>
        <w:jc w:val="left"/>
      </w:pPr>
      <w:r>
        <w:rPr>
          <w:u w:val="single"/>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
      <w:pPr>
        <w:jc w:val="center"/>
      </w:pPr>
      <w:r>
        <w:rPr>
          <w:b/>
        </w:rPr>
        <w:t>--- END ---</w:t>
      </w:r>
    </w:p>
    <w:sectPr>
      <w:pgNumType w:start="1"/>
      <w:footerReference xmlns:r="http://schemas.openxmlformats.org/officeDocument/2006/relationships" r:id="Ra29e8d898ffe43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c430045ba4367" /><Relationship Type="http://schemas.openxmlformats.org/officeDocument/2006/relationships/footer" Target="/word/footer.xml" Id="Ra29e8d898ffe43d4" /></Relationships>
</file>