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d59c5493b4a9a" /></Relationships>
</file>

<file path=word/document.xml><?xml version="1.0" encoding="utf-8"?>
<w:document xmlns:w="http://schemas.openxmlformats.org/wordprocessingml/2006/main">
  <w:body>
    <w:p>
      <w:r>
        <w:t>S-1274.1</w:t>
      </w:r>
    </w:p>
    <w:p>
      <w:pPr>
        <w:jc w:val="center"/>
      </w:pPr>
      <w:r>
        <w:t>_______________________________________________</w:t>
      </w:r>
    </w:p>
    <w:p/>
    <w:p>
      <w:pPr>
        <w:jc w:val="center"/>
      </w:pPr>
      <w:r>
        <w:rPr>
          <w:b/>
        </w:rPr>
        <w:t>SENATE BILL 5792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Darneille</w:t>
      </w:r>
    </w:p>
    <w:p/>
    <w:p>
      <w:r>
        <w:rPr>
          <w:t xml:space="preserve">Read first time 02/03/15.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office of forensic mental health services; and adding a new section to chapter 10.77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spacing w:before="0" w:after="0" w:line="408" w:lineRule="exact"/>
        <w:ind w:left="0" w:right="0" w:firstLine="576"/>
        <w:jc w:val="left"/>
      </w:pPr>
      <w:r>
        <w:rPr/>
        <w:t xml:space="preserve">(a) Operational control of all forensic evaluation services, including specific budget allocation;</w:t>
      </w:r>
    </w:p>
    <w:p>
      <w:pPr>
        <w:spacing w:before="0" w:after="0" w:line="408" w:lineRule="exact"/>
        <w:ind w:left="0" w:right="0" w:firstLine="576"/>
        <w:jc w:val="left"/>
      </w:pPr>
      <w:r>
        <w:rPr/>
        <w:t xml:space="preserve">(b) Responsibility for training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proper flow of information, coordinate logistical issues, and solve problems in complex circumstances;</w:t>
      </w:r>
    </w:p>
    <w:p>
      <w:pPr>
        <w:spacing w:before="0" w:after="0" w:line="408" w:lineRule="exact"/>
        <w:ind w:left="0" w:right="0" w:firstLine="576"/>
        <w:jc w:val="left"/>
      </w:pPr>
      <w:r>
        <w:rPr/>
        <w:t xml:space="preserve">(e) Coordination with state hospitals to identify and develop best practice interventions and curricula for services that are unique to forensic patients;</w:t>
      </w:r>
    </w:p>
    <w:p>
      <w:pPr>
        <w:spacing w:before="0" w:after="0" w:line="408" w:lineRule="exact"/>
        <w:ind w:left="0" w:right="0" w:firstLine="576"/>
        <w:jc w:val="left"/>
      </w:pPr>
      <w:r>
        <w:rPr/>
        <w:t xml:space="preserve">(f) Promotion of congruence across state hospitals where appropriate, and promotion of interventions that flow smoothly into community interventions;</w:t>
      </w:r>
    </w:p>
    <w:p>
      <w:pPr>
        <w:spacing w:before="0" w:after="0" w:line="408" w:lineRule="exact"/>
        <w:ind w:left="0" w:right="0" w:firstLine="576"/>
        <w:jc w:val="left"/>
      </w:pPr>
      <w:r>
        <w:rPr/>
        <w:t xml:space="preserve">(g) Coordination with regional support networks, behavioral health organizations, community mental health agencies, and the department of corrections regarding community treatment and monitoring of persons on conditional release;</w:t>
      </w:r>
    </w:p>
    <w:p>
      <w:pPr>
        <w:spacing w:before="0" w:after="0" w:line="408" w:lineRule="exact"/>
        <w:ind w:left="0" w:right="0" w:firstLine="576"/>
        <w:jc w:val="left"/>
      </w:pPr>
      <w:r>
        <w:rPr/>
        <w:t xml:space="preserve">(h) Oversight of forensic data collection and analysis statewide, and appropriate dissemination of data trends and recommendations;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
      <w:pPr>
        <w:jc w:val="center"/>
      </w:pPr>
      <w:r>
        <w:rPr>
          <w:b/>
        </w:rPr>
        <w:t>--- END ---</w:t>
      </w:r>
    </w:p>
    <w:sectPr>
      <w:pgNumType w:start="1"/>
      <w:footerReference xmlns:r="http://schemas.openxmlformats.org/officeDocument/2006/relationships" r:id="R29475bbabd3c46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96f08cee04d21" /><Relationship Type="http://schemas.openxmlformats.org/officeDocument/2006/relationships/footer" Target="/word/footer.xml" Id="R29475bbabd3c462d" /></Relationships>
</file>