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6e9f61bc94d17" /></Relationships>
</file>

<file path=word/document.xml><?xml version="1.0" encoding="utf-8"?>
<w:document xmlns:w="http://schemas.openxmlformats.org/wordprocessingml/2006/main">
  <w:body>
    <w:p>
      <w:r>
        <w:t>S-3214.1</w:t>
      </w:r>
    </w:p>
    <w:p>
      <w:pPr>
        <w:jc w:val="center"/>
      </w:pPr>
      <w:r>
        <w:t>_______________________________________________</w:t>
      </w:r>
    </w:p>
    <w:p/>
    <w:p>
      <w:pPr>
        <w:jc w:val="center"/>
      </w:pPr>
      <w:r>
        <w:rPr>
          <w:b/>
        </w:rPr>
        <w:t>SENATE BILL 6123</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Senators Bailey, Schoesler, Hewitt, Angel, Brown, O'Ban, Padden, Rivers, Roach, Honeyford, Miloscia, and Warnick</w:t>
      </w:r>
    </w:p>
    <w:p/>
    <w:p>
      <w:r>
        <w:rPr>
          <w:t xml:space="preserve">Read first time 05/20/15.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retirement service credit; and amending RCW 41.40.710.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710</w:t>
      </w:r>
      <w:r>
        <w:rPr/>
        <w:t xml:space="preserve"> and 2009 c 205 s 1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41.40.610 through 41.40.740.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u w:val="single"/>
        </w:rPr>
        <w:t xml:space="preserve">A member who is a state elected official shall not receive service credit under this subsection (3) for an authorized leave of absence that is provided after the member has been charged with a felony offense, unless the felony charges are subsequently dismissed or the member is acquitted of the felony charges.</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in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41.45.060, 41.45.061, and 41.45.067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eligible child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
      <w:pPr>
        <w:jc w:val="center"/>
      </w:pPr>
      <w:r>
        <w:rPr>
          <w:b/>
        </w:rPr>
        <w:t>--- END ---</w:t>
      </w:r>
    </w:p>
    <w:sectPr>
      <w:pgNumType w:start="1"/>
      <w:footerReference xmlns:r="http://schemas.openxmlformats.org/officeDocument/2006/relationships" r:id="R7e6f2a0a252e4e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26676e3844003" /><Relationship Type="http://schemas.openxmlformats.org/officeDocument/2006/relationships/footer" Target="/word/footer.xml" Id="R7e6f2a0a252e4e93" /></Relationships>
</file>