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1b25fab2c42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6125</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Senate Ways &amp; Means (originally sponsored by Senators Honeyford, Keiser, and Warnick)</w:t>
      </w:r>
    </w:p>
    <w:p/>
    <w:p>
      <w:r>
        <w:rPr>
          <w:t xml:space="preserve">READ FIRST TIME 05/27/15.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drought response;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DROUGHT RESPONSE</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state drought preparedness account established in RCW 43.83B.430.</w:t>
      </w:r>
    </w:p>
    <w:p>
      <w:pPr>
        <w:spacing w:before="120" w:after="0" w:line="408" w:lineRule="exact"/>
        <w:ind w:left="0" w:right="0" w:firstLine="0"/>
        <w:jc w:val="left"/>
        <w:tabs>
          <w:tab w:val="right" w:leader="dot" w:pos="9936"/>
        </w:tabs>
      </w:pPr>
      <w:r>
        <w:rPr/>
        <w:t xml:space="preserve">General Fund—State Appropriation (FY 2016)</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Emergency (92000146)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response to a statewide drought declared pursuant to chapter 43.83B RCW. The department of ecology may provide funding or compensation for purchase or lease of water rights and to public bodies as defined in RCW 43.83B.050 in connection with projects and measures designed to alleviate drought conditions that may affect: Public health and safety; drinking water supplies; agricultural activities; or fish and wildlife survival. The state taxable building construction account</w:t>
      </w:r>
      <w:r>
        <w:rPr>
          <w:rFonts w:ascii="Times New Roman" w:hAnsi="Times New Roman"/>
        </w:rPr>
        <w:t xml:space="preserve">—</w:t>
      </w:r>
      <w:r>
        <w:rPr/>
        <w:t xml:space="preserve">state appropriation must be expended for projects and activities related to those projects for which the anticipated benefits exceed ten years.</w:t>
      </w:r>
    </w:p>
    <w:p>
      <w:pPr>
        <w:spacing w:before="0" w:after="0" w:line="408" w:lineRule="exact"/>
        <w:ind w:left="0" w:right="0" w:firstLine="576"/>
        <w:jc w:val="left"/>
      </w:pPr>
      <w:r>
        <w:rPr/>
        <w:t xml:space="preserve">(2) Projects or measures for which funding or compensation will be provided must be connected with a water system, water source, or water body that is receiving, or has been projected to receive, less than seventy-five percent of normal water supply, as the result of natural drought conditions. This reduction in water supply must be such that it is causing, or will cause, undue hardship for the entities or fish or wildlife depending on the water supply. General criteria for guidelines to be established by the department of ecology for distribution of funds must include: A balanced and equitable distribution of the funds among the different sectors affected by drought; a funding process that ensures funds are available for drought impacts that arise both early and later during the course of the drought; a preference for projects that leverage other federal and local funds; or alleviates immediate hardship.</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e733ee8f9de4e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913cbbbf24e6d" /><Relationship Type="http://schemas.openxmlformats.org/officeDocument/2006/relationships/footer" Target="/word/footer.xml" Id="Rbe733ee8f9de4e91" /></Relationships>
</file>