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6a21ed873940b3" /></Relationships>
</file>

<file path=word/document.xml><?xml version="1.0" encoding="utf-8"?>
<w:document xmlns:w="http://schemas.openxmlformats.org/wordprocessingml/2006/main">
  <w:body>
    <w:p>
      <w:r>
        <w:t>S-3565.1</w:t>
      </w:r>
    </w:p>
    <w:p>
      <w:pPr>
        <w:jc w:val="center"/>
      </w:pPr>
      <w:r>
        <w:t>_______________________________________________</w:t>
      </w:r>
    </w:p>
    <w:p/>
    <w:p>
      <w:pPr>
        <w:jc w:val="center"/>
      </w:pPr>
      <w:r>
        <w:rPr>
          <w:b/>
        </w:rPr>
        <w:t>SENATE BILL 6176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Ericksen</w:t>
      </w:r>
    </w:p>
    <w:p/>
    <w:p>
      <w:r>
        <w:rPr>
          <w:t xml:space="preserve">Prefiled 01/07/16.</w:t>
        </w:rPr>
      </w:r>
      <w:r>
        <w:rPr>
          <w:t xml:space="preserve">Read first time 01/11/16.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utilities and transportation commission to consider policies that allow electrical companies to establish a user fee or other similar charge for electric vehicle supply equipment that is deployed for the benefit of ratepayers; and amending RCW 80.28.360.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2015 c 220 s 2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on capital expenditures for electric vehicle supply equipment that is deployed for the benefit of ratepayers, provided that the capital expenditures do not increase costs to ratepayers in excess of one-quarter of one percent. The commission must consider and may adopt other policies to improve access to and promote fair competition in the provision of electric vehicle supply equipment</w:t>
      </w:r>
      <w:r>
        <w:rPr>
          <w:u w:val="single"/>
        </w:rPr>
        <w:t xml:space="preserve">, including policies that allow electrical companies to establish a user fee or other similar charge for electric vehicle supply equipment that is deployed for the benefit of ratepayers</w:t>
      </w:r>
      <w:r>
        <w:rPr/>
        <w:t xml:space="preserve">.</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 and which are reasonably expected, at the time they are placed in the rate base, to result in real and tangible benefits for ratepayers by being installed and located where electric vehicles are most likely to be parked for intervals longer than two hours.</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
      <w:pPr>
        <w:jc w:val="center"/>
      </w:pPr>
      <w:r>
        <w:rPr>
          <w:b/>
        </w:rPr>
        <w:t>--- END ---</w:t>
      </w:r>
    </w:p>
    <w:sectPr>
      <w:pgNumType w:start="1"/>
      <w:footerReference xmlns:r="http://schemas.openxmlformats.org/officeDocument/2006/relationships" r:id="Rb503b31ca64c49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1e8df709d04e24" /><Relationship Type="http://schemas.openxmlformats.org/officeDocument/2006/relationships/footer" Target="/word/footer.xml" Id="Rb503b31ca64c4968" /></Relationships>
</file>