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d27fb696bd4001" /></Relationships>
</file>

<file path=word/document.xml><?xml version="1.0" encoding="utf-8"?>
<w:document xmlns:w="http://schemas.openxmlformats.org/wordprocessingml/2006/main">
  <w:body>
    <w:p>
      <w:r>
        <w:t>S-4205.3</w:t>
      </w:r>
    </w:p>
    <w:p>
      <w:pPr>
        <w:jc w:val="center"/>
      </w:pPr>
      <w:r>
        <w:t>_______________________________________________</w:t>
      </w:r>
    </w:p>
    <w:p/>
    <w:p>
      <w:pPr>
        <w:jc w:val="center"/>
      </w:pPr>
      <w:r>
        <w:rPr>
          <w:b/>
        </w:rPr>
        <w:t>SUBSTITUTE SENATE BILL 6236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 Padden)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24/7 sobriety program; amending RCW 10.21.055, 46.61.5055, 46.20.3101, and 36.28A.390; and repealing RCW 36.28A.310.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w:t>
      </w:r>
      <w:r>
        <w:t>((</w:t>
      </w:r>
      <w:r>
        <w:rPr>
          <w:strike/>
        </w:rPr>
        <w:t xml:space="preserve">fifteen days of electronic home monitoring</w:t>
      </w:r>
      <w:r>
        <w:t>))</w:t>
      </w:r>
      <w:r>
        <w:rPr/>
        <w:t xml:space="preserve"> </w:t>
      </w:r>
      <w:r>
        <w:rPr>
          <w:u w:val="single"/>
        </w:rPr>
        <w:t xml:space="preserve">a ninety day period of 24/7 sobriety program monitoring</w:t>
      </w:r>
      <w:r>
        <w:rPr/>
        <w:t xml:space="preserve">. The </w:t>
      </w:r>
      <w:r>
        <w:t>((</w:t>
      </w:r>
      <w:r>
        <w:rPr>
          <w:strike/>
        </w:rPr>
        <w:t xml:space="preserve">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w:t>
      </w:r>
      <w:r>
        <w:t>))</w:t>
      </w:r>
      <w:r>
        <w:rPr/>
        <w:t xml:space="preserve"> </w:t>
      </w:r>
      <w:r>
        <w:rPr>
          <w:u w:val="single"/>
        </w:rPr>
        <w:t xml:space="preserve">court may consider the offender's pretrial 24/7 sobriety program monitoring as fulfilling a portion of posttrial sentencing</w:t>
      </w:r>
      <w:r>
        <w:rPr/>
        <w:t xml:space="preserve">;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w:t>
      </w:r>
      <w:r>
        <w:t>((</w:t>
      </w:r>
      <w:r>
        <w:rPr>
          <w:strike/>
        </w:rPr>
        <w:t xml:space="preserve">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w:t>
      </w:r>
      <w:r>
        <w:t>))</w:t>
      </w:r>
      <w:r>
        <w:rPr/>
        <w:t xml:space="preserve"> </w:t>
      </w:r>
      <w:r>
        <w:rPr>
          <w:u w:val="single"/>
        </w:rPr>
        <w:t xml:space="preserve">a one hundred twenty day period of 24/7 sobriety program monitoring. The court may consider the offender's pretrial 24/7 sobriety program testing as fulfilling a portion of posttrial sentencing</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w:t>
      </w:r>
      <w:r>
        <w:t>((</w:t>
      </w:r>
      <w:r>
        <w:rPr>
          <w:strike/>
        </w:rPr>
        <w:t xml:space="preserve">or</w:t>
      </w:r>
      <w:r>
        <w:t>))</w:t>
      </w:r>
    </w:p>
    <w:p>
      <w:pPr>
        <w:spacing w:before="0" w:after="0" w:line="408" w:lineRule="exact"/>
        <w:ind w:left="0" w:right="0" w:firstLine="576"/>
        <w:jc w:val="left"/>
      </w:pPr>
      <w:r>
        <w:rPr/>
        <w:t xml:space="preserve">(iii) Where there have been two or more prior offenses within seven years, be revoked or denied by the department for three years; </w:t>
      </w:r>
      <w:r>
        <w:rPr>
          <w:u w:val="single"/>
        </w:rPr>
        <w:t xml:space="preserve">or</w:t>
      </w:r>
    </w:p>
    <w:p>
      <w:pPr>
        <w:spacing w:before="0" w:after="0" w:line="408" w:lineRule="exact"/>
        <w:ind w:left="0" w:right="0" w:firstLine="576"/>
        <w:jc w:val="left"/>
      </w:pPr>
      <w:r>
        <w:rPr>
          <w:u w:val="single"/>
        </w:rPr>
        <w:t xml:space="preserve">(iv) In no circumstances shall the license suspension be for fewer than two days;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w:t>
      </w:r>
      <w:r>
        <w:rPr>
          <w:u w:val="single"/>
        </w:rPr>
        <w:t xml:space="preserve">. In no circumstances shall the license revocation be for fewer than four days</w:t>
      </w:r>
      <w:r>
        <w:rPr/>
        <w:t xml:space="preserve">;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
      <w:pPr>
        <w:jc w:val="center"/>
      </w:pPr>
      <w:r>
        <w:rPr>
          <w:b/>
        </w:rPr>
        <w:t>--- END ---</w:t>
      </w:r>
    </w:p>
    <w:sectPr>
      <w:pgNumType w:start="1"/>
      <w:footerReference xmlns:r="http://schemas.openxmlformats.org/officeDocument/2006/relationships" r:id="Rb6b807861fd049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6c801b38440e6" /><Relationship Type="http://schemas.openxmlformats.org/officeDocument/2006/relationships/footer" Target="/word/footer.xml" Id="Rb6b807861fd0495b" /></Relationships>
</file>