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f4d6856d4431e" /></Relationships>
</file>

<file path=word/document.xml><?xml version="1.0" encoding="utf-8"?>
<w:document xmlns:w="http://schemas.openxmlformats.org/wordprocessingml/2006/main">
  <w:body>
    <w:p>
      <w:r>
        <w:t>S-4351.1</w:t>
      </w:r>
    </w:p>
    <w:p>
      <w:pPr>
        <w:jc w:val="center"/>
      </w:pPr>
      <w:r>
        <w:t>_______________________________________________</w:t>
      </w:r>
    </w:p>
    <w:p/>
    <w:p>
      <w:pPr>
        <w:jc w:val="center"/>
      </w:pPr>
      <w:r>
        <w:rPr>
          <w:b/>
        </w:rPr>
        <w:t>SUBSTITUTE SENATE BILL 6430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Parlette, Darneille, O'Ban,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continuity of care for recipients of medical assistance during periods of incarceration; amending RCW 70.48.100; adding new sections to chapter 74.09 RCW;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with mental illness and persons with substance use disorders in the custody of the criminal justice system need seamless access to community treatment networks and medical assistance upon release from custody to prevent gaps in treatment and reduce barriers to accessing care. Access to care is critical to reduce recidivism and reduce costs associated with relapse, decompensation, and crisis care. In accord with the recommendations of the adult behavioral health system task force, persons should be allowed to apply or retain their enrollment in medical assistance during periods of incarceration. The legislature intends for the Washington state health care authority and the department of social and health services to raise awareness of best clinical practices to engage persons with behavioral health disorders and other chronic conditions during periods of incarceration and confinement to highlight opportunities for good preventive care and standardize reporting and payment practices for services reimbursable by federal law that support the safe transition of the person back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is directed to suspend, rather than terminate, medical assistance benefits by July 1, 2017, for persons who are incarcerated or committed to a state hospital. This must include the ability for a person to apply for medical assistance in suspense status during incarceration,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Washington state health care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shall construe governing laws liberally to effectuate the broad remedial purposes of this act, and provide a status update to the legislature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collaborate with the department, the Washington state association of counties, the Washington association of sheriffs and police chiefs, and accountable communities of health to improve population health and reduce avoidable use of intensive services and settings by requesting expenditure authority from the federal government to provide behavioral health services to persons who are incarcerated in local jails. The authority in consultation with its partners may narrow its submission to discrete programs or regions of the state as deemed advisable to effectively demonstrate the potential to achieve savings by integrating medical assistance across community and correctional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It is the understanding of the legislature that persons participating in a work release program or other partial confinement programs at the state, county, or city level which allow regular freedom during the day to pursue rehabilitative community activities such as participation in work, treatment, or medical care should not be considered "inmates of a public institution" for the purposes of exclusion from medicaid coverage under the social security act. The authority is instructed to obtain any permissions from the federal government necessary to confirm this understanding, and report back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2014 c 225 s 105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 (3) of this section</w:t>
      </w:r>
      <w:r>
        <w:rPr>
          <w:u w:val="single"/>
        </w:rPr>
        <w:t xml:space="preserve">,</w:t>
      </w:r>
      <w:r>
        <w:rPr/>
        <w:t xml:space="preserve">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 </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 </w:t>
      </w:r>
      <w:r>
        <w:t>((</w:t>
      </w:r>
      <w:r>
        <w:rPr>
          <w:strike/>
        </w:rPr>
        <w:t xml:space="preserve">or</w:t>
      </w:r>
      <w:r>
        <w:t>))</w:t>
      </w:r>
    </w:p>
    <w:p>
      <w:pPr>
        <w:spacing w:before="0" w:after="0" w:line="408" w:lineRule="exact"/>
        <w:ind w:left="0" w:right="0" w:firstLine="576"/>
        <w:jc w:val="left"/>
      </w:pPr>
      <w:r>
        <w:rPr/>
        <w:t xml:space="preserve">(f) </w:t>
      </w:r>
      <w:r>
        <w:rPr>
          <w:u w:val="single"/>
        </w:rPr>
        <w:t xml:space="preserve">To federal, state, or local agencies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regarding the privacy of the disclosed records; or</w:t>
      </w:r>
    </w:p>
    <w:p>
      <w:pPr>
        <w:spacing w:before="0" w:after="0" w:line="408" w:lineRule="exact"/>
        <w:ind w:left="0" w:right="0" w:firstLine="576"/>
        <w:jc w:val="left"/>
      </w:pPr>
      <w:r>
        <w:rPr>
          <w:u w:val="single"/>
        </w:rPr>
        <w:t xml:space="preserve">(g)</w:t>
      </w:r>
      <w:r>
        <w:rPr/>
        <w:t xml:space="preserve">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rPr>
          <w:u w:val="single"/>
        </w:rPr>
        <w:t xml:space="preserve">(4) Any jail that provides inmate records in accordance with subsection (2) of this section is not responsible for any unlawful secondary dissemination of the provided inmate records.</w:t>
      </w:r>
    </w:p>
    <w:p/>
    <w:p>
      <w:pPr>
        <w:jc w:val="center"/>
      </w:pPr>
      <w:r>
        <w:rPr>
          <w:b/>
        </w:rPr>
        <w:t>--- END ---</w:t>
      </w:r>
    </w:p>
    <w:sectPr>
      <w:pgNumType w:start="1"/>
      <w:footerReference xmlns:r="http://schemas.openxmlformats.org/officeDocument/2006/relationships" r:id="R2d206f9e9b6e4d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bf4cd505124653" /><Relationship Type="http://schemas.openxmlformats.org/officeDocument/2006/relationships/footer" Target="/word/footer.xml" Id="R2d206f9e9b6e4d0e" /></Relationships>
</file>