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56bfe2b784736" /></Relationships>
</file>

<file path=word/document.xml><?xml version="1.0" encoding="utf-8"?>
<w:document xmlns:w="http://schemas.openxmlformats.org/wordprocessingml/2006/main">
  <w:body>
    <w:p>
      <w:r>
        <w:t>S-3609.1</w:t>
      </w:r>
    </w:p>
    <w:p>
      <w:pPr>
        <w:jc w:val="center"/>
      </w:pPr>
      <w:r>
        <w:t>_______________________________________________</w:t>
      </w:r>
    </w:p>
    <w:p/>
    <w:p>
      <w:pPr>
        <w:jc w:val="center"/>
      </w:pPr>
      <w:r>
        <w:rPr>
          <w:b/>
        </w:rPr>
        <w:t>SENATE BILL 6469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Litzow, Hasegawa, Conway, Bailey, Angel, Chase, Becker, Warnick, Padden, and Braun</w:t>
      </w:r>
    </w:p>
    <w:p/>
    <w:p>
      <w:r>
        <w:rPr>
          <w:t xml:space="preserve">Read first time 01/21/16.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cursive writing be taught in common schools; amending RCW 28A.230.020;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w:t>
      </w:r>
      <w:r>
        <w:rPr>
          <w:u w:val="single"/>
        </w:rPr>
        <w:t xml:space="preserve">including cursive writing</w:t>
      </w:r>
      <w:r>
        <w:rPr/>
        <w:t xml:space="preserve">, orthography, written and mental arithmetic, geography, the history of the United States, English grammar,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the effective date of this section, when a school district board of directors reviews or adopts its English language arts curriculum, it shall incorporate curricula to teach cursive writing.</w:t>
      </w:r>
    </w:p>
    <w:p/>
    <w:p>
      <w:pPr>
        <w:jc w:val="center"/>
      </w:pPr>
      <w:r>
        <w:rPr>
          <w:b/>
        </w:rPr>
        <w:t>--- END ---</w:t>
      </w:r>
    </w:p>
    <w:sectPr>
      <w:pgNumType w:start="1"/>
      <w:footerReference xmlns:r="http://schemas.openxmlformats.org/officeDocument/2006/relationships" r:id="R04092dfcd4724a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7290767d24897" /><Relationship Type="http://schemas.openxmlformats.org/officeDocument/2006/relationships/footer" Target="/word/footer.xml" Id="R04092dfcd4724aa2" /></Relationships>
</file>