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772b04a784078" /></Relationships>
</file>

<file path=word/document.xml><?xml version="1.0" encoding="utf-8"?>
<w:document xmlns:w="http://schemas.openxmlformats.org/wordprocessingml/2006/main">
  <w:body>
    <w:p>
      <w:r>
        <w:t>S-4671.1</w:t>
      </w:r>
    </w:p>
    <w:p>
      <w:pPr>
        <w:jc w:val="center"/>
      </w:pPr>
      <w:r>
        <w:t>_______________________________________________</w:t>
      </w:r>
    </w:p>
    <w:p/>
    <w:p>
      <w:pPr>
        <w:jc w:val="center"/>
      </w:pPr>
      <w:r>
        <w:rPr>
          <w:b/>
        </w:rPr>
        <w:t>SECOND SUBSTITUTE SENATE BILL 6497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Hargrove, O'Ban, Darneille, Miloscia, Litzow, McAuliffe,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28A.225.020, 28A.225.025, 28A.225.030, 28A.225.035, 28A.225.090, 43.185C.315, 43.185C.320, 28A.165.005, 28A.165.035, and 28A.655.235; adding a new section to chapter 28A.225 RCW; adding a new section to chapter 43.185C RCW; adding a new section to chapter 43.330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three-pronged approach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individual barriers to school attendance that have led to truancy may be best addressed by providing access to a bed in a HOPE center. The legislature further recognizes that even when a truant student is found in contempt of a court order to attend school, it is best practice that the truant student not be placed in juvenile detention but, where feasible and available, instead be placed in a crisis residential center. The legislature intends to increase the number of beds in HOPE centers and crisis residential centers in order to facilitate their use for truant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the use of the Washington assessment of the risks and needs of students (WARNS)</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r>
        <w:rPr>
          <w:u w:val="single"/>
        </w:rPr>
        <w:t xml:space="preserve">, along with a copy of any previous assessment as required under subsection (1)(c) of this section, history of any best practices or researched-based intervention previously provided to the child by the child's current school district, and a copy of the most dated truancy information inclusive of online or written acknowledgment by the parent and child, as provided for in RCW 28A.225.005.</w:t>
      </w:r>
    </w:p>
    <w:p>
      <w:pPr>
        <w:spacing w:before="0" w:after="0" w:line="408" w:lineRule="exact"/>
        <w:ind w:left="0" w:right="0" w:firstLine="576"/>
        <w:jc w:val="left"/>
      </w:pPr>
      <w:r>
        <w:rPr>
          <w:u w:val="single"/>
        </w:rPr>
        <w:t xml:space="preserve">(4) School districts with fewer than two hundred students may work cooperatively with other school districts, the county court, or the school district's educational service district to provide a community truancy board or other interventions approved by the juvenile court and associated screenings and services to its students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w:t>
      </w:r>
      <w:r>
        <w:t>((</w:t>
      </w:r>
      <w:r>
        <w:rPr>
          <w:strike/>
        </w:rPr>
        <w:t xml:space="preserve">Juvenile courts may establish and operate community truancy boards. If the juvenile court and the school district agree, a school district may</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 Pursuant to a memorandum of understanding between a school district and a juvenile court, all school districts must</w:t>
      </w:r>
      <w:r>
        <w:rPr/>
        <w:t xml:space="preserve"> establish and operate a community truancy board under the jurisdiction of the juvenile court. </w:t>
      </w:r>
      <w:r>
        <w:t>((</w:t>
      </w:r>
      <w:r>
        <w:rPr>
          <w:strike/>
        </w:rPr>
        <w:t xml:space="preserve">Juvenile courts may create a community truancy board or may use other entities that exist or are created, such as diversion units. However, a diversion unit or other existing entity must agree before it is used as a truancy board.</w:t>
      </w:r>
      <w:r>
        <w:t>))</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referring a child to a HOPE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w:t>
      </w:r>
      <w:r>
        <w:rPr>
          <w:u w:val="single"/>
        </w:rPr>
        <w:t xml:space="preserve">All school districts must establish a community truancy board by August 1, 2017.</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by the juvenile court.</w:t>
      </w:r>
    </w:p>
    <w:p>
      <w:pPr>
        <w:spacing w:before="0" w:after="0" w:line="408" w:lineRule="exact"/>
        <w:ind w:left="0" w:right="0" w:firstLine="576"/>
        <w:jc w:val="left"/>
      </w:pPr>
      <w:r>
        <w:rPr>
          <w:u w:val="single"/>
        </w:rPr>
        <w:t xml:space="preserve">(b) By August 1, 2017, the child and the child's parent must be referred to a community truancy board as described in RCW 28A.225.025.</w:t>
      </w:r>
    </w:p>
    <w:p>
      <w:pPr>
        <w:spacing w:before="0" w:after="0" w:line="408" w:lineRule="exact"/>
        <w:ind w:left="0" w:right="0" w:firstLine="576"/>
        <w:jc w:val="left"/>
      </w:pPr>
      <w:r>
        <w:rPr>
          <w:u w:val="single"/>
        </w:rPr>
        <w:t xml:space="preserve">(c) Between August 1, 2016, and July 31, 2017, intervention and prevention efforts </w:t>
      </w:r>
      <w:r>
        <w:rPr>
          <w:u w:val="single"/>
        </w:rPr>
        <w:t xml:space="preserve">must be</w:t>
      </w:r>
      <w:r>
        <w:rPr>
          <w:u w:val="single"/>
        </w:rPr>
        <w:t xml:space="preserve"> employed to substantially reduce the child's unexcused absences. Intervention and prevention efforts under this subsection may include referral to an existing community truancy board, use of the Washington assessment of the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The school district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(d) If intervention and prevention efforts under this subsection are unsuccessful at substantially reducing the child's unexcused absences within a reasonable time frame set by the school district, the stay shall be lifted and</w:t>
      </w:r>
      <w:r>
        <w:rPr/>
        <w:t xml:space="preserve"> the juvenile court shall schedule a hearing at which the court shall consider the petition</w:t>
      </w:r>
      <w:r>
        <w:t>((</w:t>
      </w:r>
      <w:r>
        <w:rPr>
          <w:strike/>
        </w:rPr>
        <w:t xml:space="preserve">,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u w:val="single"/>
        </w:rPr>
        <w:t xml:space="preserve">(f) Submit to a temporary placement in a crisis residential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secure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Referred to community truancy boards as defined in RCW 28A.225.025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community truancy board activities and student supports as described in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Beginning August 1, 2017, the school district must implement a community truancy board as provided in RCW 28A.165.035.</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By requiring an initial stay of truancy petitions for diversion to community truancy boards, the legislature intends to achieve the following outcomes:</w:t>
      </w:r>
    </w:p>
    <w:p>
      <w:pPr>
        <w:spacing w:before="0" w:after="0" w:line="408" w:lineRule="exact"/>
        <w:ind w:left="0" w:right="0" w:firstLine="576"/>
        <w:jc w:val="left"/>
      </w:pPr>
      <w:r>
        <w:rPr/>
        <w:t xml:space="preserve">(a) Increased access to community truancy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truancy board; and</w:t>
      </w:r>
    </w:p>
    <w:p>
      <w:pPr>
        <w:spacing w:before="0" w:after="0" w:line="408" w:lineRule="exact"/>
        <w:ind w:left="0" w:right="0" w:firstLine="576"/>
        <w:jc w:val="left"/>
      </w:pPr>
      <w:r>
        <w:rPr/>
        <w:t xml:space="preserve">(d) A reduction in the number of truancy petitions that result in a civil contempt proceeding or detention order.</w:t>
      </w:r>
    </w:p>
    <w:p>
      <w:pPr>
        <w:spacing w:before="0" w:after="0" w:line="408" w:lineRule="exact"/>
        <w:ind w:left="0" w:right="0" w:firstLine="576"/>
        <w:jc w:val="left"/>
      </w:pPr>
      <w:r>
        <w:rPr/>
        <w:t xml:space="preserve">(2) No later than January 1, 2021, the Washington state institute for public policy is directed to evaluate the effectiveness of chapter . . ., Laws of 2016 (this act). An initial report scoping of the methodology to be used to review chapter . . ., Laws of 2016 (this act)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14 of this act take effect September 1, 2016.</w:t>
      </w:r>
    </w:p>
    <w:p/>
    <w:p>
      <w:pPr>
        <w:jc w:val="center"/>
      </w:pPr>
      <w:r>
        <w:rPr>
          <w:b/>
        </w:rPr>
        <w:t>--- END ---</w:t>
      </w:r>
    </w:p>
    <w:sectPr>
      <w:pgNumType w:start="1"/>
      <w:footerReference xmlns:r="http://schemas.openxmlformats.org/officeDocument/2006/relationships" r:id="R816fe0fe5ce840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e33126424427a" /><Relationship Type="http://schemas.openxmlformats.org/officeDocument/2006/relationships/footer" Target="/word/footer.xml" Id="R816fe0fe5ce84044" /></Relationships>
</file>