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5193f6d3dd40f2" /></Relationships>
</file>

<file path=word/document.xml><?xml version="1.0" encoding="utf-8"?>
<w:document xmlns:w="http://schemas.openxmlformats.org/wordprocessingml/2006/main">
  <w:body>
    <w:p>
      <w:r>
        <w:t>S-3753.1</w:t>
      </w:r>
    </w:p>
    <w:p>
      <w:pPr>
        <w:jc w:val="center"/>
      </w:pPr>
      <w:r>
        <w:t>_______________________________________________</w:t>
      </w:r>
    </w:p>
    <w:p/>
    <w:p>
      <w:pPr>
        <w:jc w:val="center"/>
      </w:pPr>
      <w:r>
        <w:rPr>
          <w:b/>
        </w:rPr>
        <w:t>SENATE BILL 6546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and Hobbs</w:t>
      </w:r>
    </w:p>
    <w:p/>
    <w:p>
      <w:r>
        <w:rPr>
          <w:t xml:space="preserve">Read first time 01/25/16.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actual utility costs of a landlord under the manufactured/mobile home landlord-tenant act; amending RCW 59.20.070;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2012 c 213 s 2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r>
        <w:rPr>
          <w:u w:val="single"/>
        </w:rPr>
        <w:t xml:space="preserve">. For purposes of this subsection, a landlord's actual utility costs include all expenses incurred by the landlord to provide the utility to the tenant, including repair, replacement, maintenance, and administrative expenses</w:t>
      </w:r>
      <w:r>
        <w:rPr/>
        <w:t xml:space="preserve">;</w:t>
      </w:r>
    </w:p>
    <w:p>
      <w:pPr>
        <w:spacing w:before="0" w:after="0" w:line="408" w:lineRule="exact"/>
        <w:ind w:left="0" w:right="0" w:firstLine="576"/>
        <w:jc w:val="left"/>
      </w:pPr>
      <w:r>
        <w:rPr/>
        <w:t xml:space="preserve">(7) Remove or exclude a tenant from the premises unless this chapter is complied with or the exclusion or removal is under an appropriate court order; or</w:t>
      </w:r>
    </w:p>
    <w:p>
      <w:pPr>
        <w:spacing w:before="0" w:after="0" w:line="408" w:lineRule="exact"/>
        <w:ind w:left="0" w:right="0" w:firstLine="576"/>
        <w:jc w:val="left"/>
      </w:pPr>
      <w:r>
        <w:rPr/>
        <w:t xml:space="preserve">(8) Prevent the entry or require the removal of a mobile home, manufactured home, or park model for the sole reason that the mobile home has reached a certain age. Nothing in this subsection shall limit a landlords'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curative in nature and applies retroactively.</w:t>
      </w:r>
    </w:p>
    <w:p/>
    <w:p>
      <w:pPr>
        <w:jc w:val="center"/>
      </w:pPr>
      <w:r>
        <w:rPr>
          <w:b/>
        </w:rPr>
        <w:t>--- END ---</w:t>
      </w:r>
    </w:p>
    <w:sectPr>
      <w:pgNumType w:start="1"/>
      <w:footerReference xmlns:r="http://schemas.openxmlformats.org/officeDocument/2006/relationships" r:id="R4fc32b1f53324e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395ecd225244ef" /><Relationship Type="http://schemas.openxmlformats.org/officeDocument/2006/relationships/footer" Target="/word/footer.xml" Id="R4fc32b1f53324e00" /></Relationships>
</file>