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646c553aa64fa1" /></Relationships>
</file>

<file path=word/document.xml><?xml version="1.0" encoding="utf-8"?>
<w:document xmlns:w="http://schemas.openxmlformats.org/wordprocessingml/2006/main">
  <w:body>
    <w:p>
      <w:r>
        <w:t>S-4186.1</w:t>
      </w:r>
    </w:p>
    <w:p>
      <w:pPr>
        <w:jc w:val="center"/>
      </w:pPr>
      <w:r>
        <w:t>_______________________________________________</w:t>
      </w:r>
    </w:p>
    <w:p/>
    <w:p>
      <w:pPr>
        <w:jc w:val="center"/>
      </w:pPr>
      <w:r>
        <w:rPr>
          <w:b/>
        </w:rPr>
        <w:t>SENATE BILL 6585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Cleveland, Rivers, Keiser, Becker, Frockt, Bailey, Conway, Jayapal, Billig, and Hasegawa</w:t>
      </w:r>
    </w:p>
    <w:p/>
    <w:p>
      <w:r>
        <w:rPr>
          <w:t xml:space="preserve">Read first time 01/27/16.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elder justice centers;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establish two demonstration programs for elder justice centers modeled on the state's children's advocacy centers, with the goal of coordinating resources and increasing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establish two elder justice center demonstration programs, one of which must operate in Clark county and the other must operate in Spokane county. The department may contract directly with the counties for the implementation of the demonstration programs in accordance with the requirements in this section. Rather than establish new facilities, the department must give priority to contracting with established elder justice centers to minimize costs and to expand programs that are currently in use or planned in these counties.</w:t>
      </w:r>
    </w:p>
    <w:p>
      <w:pPr>
        <w:spacing w:before="0" w:after="0" w:line="408" w:lineRule="exact"/>
        <w:ind w:left="0" w:right="0" w:firstLine="576"/>
        <w:jc w:val="left"/>
      </w:pPr>
      <w:r>
        <w:rPr/>
        <w:t xml:space="preserve">(2) For the purposes of this section, "elder justice center" means a senior-focused program that coordinates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Both elder justice centers must coordinate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Both elder justice centers must develop written protocols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2017, a brief progress report describing the status of implementation at both elder justice centers;</w:t>
      </w:r>
    </w:p>
    <w:p>
      <w:pPr>
        <w:spacing w:before="0" w:after="0" w:line="408" w:lineRule="exact"/>
        <w:ind w:left="0" w:right="0" w:firstLine="576"/>
        <w:jc w:val="left"/>
      </w:pPr>
      <w:r>
        <w:rPr/>
        <w:t xml:space="preserve">(b) By January 10, 2018, an interim report outlining the structure and operation of both elder justice centers; and</w:t>
      </w:r>
    </w:p>
    <w:p>
      <w:pPr>
        <w:spacing w:before="0" w:after="0" w:line="408" w:lineRule="exact"/>
        <w:ind w:left="0" w:right="0" w:firstLine="576"/>
        <w:jc w:val="left"/>
      </w:pPr>
      <w:r>
        <w:rPr/>
        <w:t xml:space="preserve">(c) By December 1, 2019,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38b6d1ed739545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a5df55bb047c1" /><Relationship Type="http://schemas.openxmlformats.org/officeDocument/2006/relationships/footer" Target="/word/footer.xml" Id="R38b6d1ed739545f7" /></Relationships>
</file>