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8d4ef7ac7b45ee" /></Relationships>
</file>

<file path=word/document.xml><?xml version="1.0" encoding="utf-8"?>
<w:document xmlns:w="http://schemas.openxmlformats.org/wordprocessingml/2006/main">
  <w:body>
    <w:p>
      <w:r>
        <w:t>S-4321.1</w:t>
      </w:r>
    </w:p>
    <w:p>
      <w:pPr>
        <w:jc w:val="center"/>
      </w:pPr>
      <w:r>
        <w:t>_______________________________________________</w:t>
      </w:r>
    </w:p>
    <w:p/>
    <w:p>
      <w:pPr>
        <w:jc w:val="center"/>
      </w:pPr>
      <w:r>
        <w:rPr>
          <w:b/>
        </w:rPr>
        <w:t>SENATE BILL 6632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Parlette, and Hargrove</w:t>
      </w:r>
    </w:p>
    <w:p/>
    <w:p>
      <w:r>
        <w:rPr>
          <w:t xml:space="preserve">Read first time 02/03/16.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management; amending RCW 76.04.610, 76.04.630, 76.04.015, 76.04.016, and 70.94.6536; adding new sections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31, 2016, the department of enterprise services, in coordination with the department of natural resources, must use a request for information to a broad base of wildfire insurance carriers to gain an understanding of insurance requirements and data needed for an accurate quote.</w:t>
      </w:r>
    </w:p>
    <w:p>
      <w:pPr>
        <w:spacing w:before="0" w:after="0" w:line="408" w:lineRule="exact"/>
        <w:ind w:left="0" w:right="0" w:firstLine="576"/>
        <w:jc w:val="left"/>
      </w:pPr>
      <w:r>
        <w:rPr/>
        <w:t xml:space="preserve">(2) By September 30, 2016, the department of enterprise services, in coordination with the department of natural resources, must use a request for quote to a broad base of wildfire insurance carriers to discern how each carrier would meet the needs of Washington and the cost of annual premiums. Preference must be given to insurance policies with a deductible of fifty million dollars or less, but for purposes of this section and for comparison, the departments may solicit quotes with varying deductibles.</w:t>
      </w:r>
    </w:p>
    <w:p>
      <w:pPr>
        <w:spacing w:before="0" w:after="0" w:line="408" w:lineRule="exact"/>
        <w:ind w:left="0" w:right="0" w:firstLine="576"/>
        <w:jc w:val="left"/>
      </w:pPr>
      <w:r>
        <w:rPr/>
        <w:t xml:space="preserve">(3) By November 30, 2016, the department of enterprise services, in coordination with the department of natural resources, must report to the legislature on: The criteria used in the request for information and request for quote; information gathered; premium and deductible data; and all other relevant information gathered during the solicitation process. If more than one insurance carrier offers a policy quote, the report must also include recommendations as to which insurer and insurance policy best fits the needs of the state. No formal request for proposal may be issued under this section absent express authorization from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county may, by action of its legislative authority, create a local forest fire protection division that is responsible for preventing and responding to forest fires in the county. If created, the local forest fire protection division assumes primary command over any fire response in the county and assumes independent decision-making authority over all local aspects of forest fire prevention and response.</w:t>
      </w:r>
    </w:p>
    <w:p>
      <w:pPr>
        <w:spacing w:before="0" w:after="0" w:line="408" w:lineRule="exact"/>
        <w:ind w:left="0" w:right="0" w:firstLine="576"/>
        <w:jc w:val="left"/>
      </w:pPr>
      <w:r>
        <w:rPr/>
        <w:t xml:space="preserve">(2) The department must be notified of the creation of a local forest fire protection division within thirty days of its creation.</w:t>
      </w:r>
    </w:p>
    <w:p>
      <w:pPr>
        <w:spacing w:before="0" w:after="0" w:line="408" w:lineRule="exact"/>
        <w:ind w:left="0" w:right="0" w:firstLine="576"/>
        <w:jc w:val="left"/>
      </w:pPr>
      <w:r>
        <w:rPr/>
        <w:t xml:space="preserve">(3) Two or more counties may organize into a single local forest fire protection division.</w:t>
      </w:r>
    </w:p>
    <w:p>
      <w:pPr>
        <w:spacing w:before="0" w:after="0" w:line="408" w:lineRule="exact"/>
        <w:ind w:left="0" w:right="0" w:firstLine="576"/>
        <w:jc w:val="left"/>
      </w:pPr>
      <w:r>
        <w:rPr/>
        <w:t xml:space="preserve">(4) The department must, upon the request of a county's local forest fire protection division, assist the county in any fire response necessary to protect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If any owner of forest 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rPr>
          <w:u w:val="single"/>
        </w:rPr>
        <w:t xml:space="preserve">(3)</w:t>
      </w:r>
      <w:r>
        <w:rPr/>
        <w:t xml:space="preserve"> 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u w:val="single"/>
        </w:rPr>
        <w:t xml:space="preserve">(4)(a)</w:t>
      </w:r>
      <w:r>
        <w:rPr/>
        <w:t xml:space="preserve"> In addition to the procedures under </w:t>
      </w:r>
      <w:r>
        <w:t>((</w:t>
      </w:r>
      <w:r>
        <w:rPr>
          <w:strike/>
        </w:rPr>
        <w:t xml:space="preserve">this subsection</w:t>
      </w:r>
      <w:r>
        <w:t>))</w:t>
      </w:r>
      <w:r>
        <w:rPr/>
        <w:t xml:space="preserve"> </w:t>
      </w:r>
      <w:r>
        <w:rPr>
          <w:u w:val="single"/>
        </w:rPr>
        <w:t xml:space="preserve">subsections (2) and (3) of this section</w:t>
      </w:r>
      <w:r>
        <w:rPr/>
        <w:t xml:space="preserve">, property owners with multiple parcels in a single county who qualify for a refund under this section may apply to the department on an application listing all the parcels owned in order to have the assessment computed on all parcels but billed to a single parcel. </w:t>
      </w:r>
      <w:r>
        <w:t>((</w:t>
      </w:r>
      <w:r>
        <w:rPr>
          <w:strike/>
        </w:rPr>
        <w:t xml:space="preserve">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trike/>
                <w:sz w:val="20"/>
              </w:rPr>
              <w:t xml:space="preserve">Year</w:t>
            </w:r>
          </w:p>
        </w:tc>
        <w:tc>
          <w:tcPr>
            <w:tcW w:w="2420" w:type="dxa"/>
            <w:vAlign w:val="top"/>
          </w:tcPr>
          <w:p>
            <w:pPr>
              <w:spacing w:before="0" w:after="0" w:line="408" w:lineRule="exact"/>
              <w:ind w:left="0" w:right="0" w:firstLine="0"/>
              <w:jc w:val="left"/>
            </w:pPr>
            <w:r>
              <w:rPr>
                <w:rFonts w:ascii="Times New Roman" w:hAnsi="Times New Roman"/>
                <w:strike/>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trike/>
                <w:sz w:val="20"/>
              </w:rPr>
              <w:t xml:space="preserve">2002</w:t>
            </w:r>
          </w:p>
        </w:tc>
        <w:tc>
          <w:tcPr>
            <w:tcW w:w="2420" w:type="dxa"/>
            <w:vAlign w:val="top"/>
          </w:tcPr>
          <w:p>
            <w:pPr>
              <w:spacing w:before="0" w:after="0" w:line="408" w:lineRule="exact"/>
              <w:ind w:left="0" w:right="0" w:firstLine="0"/>
              <w:jc w:val="left"/>
            </w:pPr>
            <w:r>
              <w:rPr>
                <w:rFonts w:ascii="Times New Roman" w:hAnsi="Times New Roman"/>
                <w:strike/>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trike/>
                <w:sz w:val="20"/>
              </w:rPr>
              <w:t xml:space="preserve">2003</w:t>
            </w:r>
          </w:p>
        </w:tc>
        <w:tc>
          <w:tcPr>
            <w:tcW w:w="2420" w:type="dxa"/>
            <w:vAlign w:val="top"/>
          </w:tcPr>
          <w:p>
            <w:pPr>
              <w:spacing w:before="0" w:after="0" w:line="408" w:lineRule="exact"/>
              <w:ind w:left="0" w:right="0" w:firstLine="0"/>
              <w:jc w:val="left"/>
            </w:pPr>
            <w:r>
              <w:rPr>
                <w:rFonts w:ascii="Times New Roman" w:hAnsi="Times New Roman"/>
                <w:strike/>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trike/>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trike/>
                <w:sz w:val="20"/>
              </w:rPr>
              <w:t xml:space="preserve">6 or more parcels</w:t>
            </w:r>
            <w:r>
              <w:t>))</w:t>
            </w:r>
          </w:p>
        </w:tc>
      </w:tr>
    </w:tbl>
    <w:p>
      <w:pPr>
        <w:spacing w:before="120" w:after="0" w:line="408" w:lineRule="exact"/>
        <w:ind w:left="0" w:right="0" w:firstLine="576"/>
        <w:jc w:val="left"/>
      </w:pPr>
      <w:r>
        <w:rPr>
          <w:u w:val="single"/>
        </w:rPr>
        <w:t xml:space="preserve">(b)</w:t>
      </w:r>
      <w:r>
        <w:rPr/>
        <w:t xml:space="preserve"> 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t>((</w:t>
      </w:r>
      <w:r>
        <w:rPr>
          <w:strike/>
        </w:rPr>
        <w:t xml:space="preserve">(3) Beginning January 1, 1991,</w:t>
      </w:r>
      <w:r>
        <w:t>))</w:t>
      </w:r>
      <w:r>
        <w:rPr/>
        <w:t xml:space="preserve"> </w:t>
      </w:r>
      <w:r>
        <w:rPr>
          <w:u w:val="single"/>
        </w:rPr>
        <w:t xml:space="preserve">(5) U</w:t>
      </w:r>
      <w:r>
        <w:rPr/>
        <w:t xml:space="preserve">nder the administration and at the discretion of the department</w:t>
      </w:r>
      <w:r>
        <w:rPr>
          <w:u w:val="single"/>
        </w:rPr>
        <w:t xml:space="preserve">,</w:t>
      </w:r>
      <w:r>
        <w:rPr/>
        <w:t xml:space="preserve"> up to two hundred thousand dollars per year of this assessment shall be used in support of those rural fire districts assisting the department in fire protection services on forest lands.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For the purpose of this chapter, the department may divide the forest 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 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t>((</w:t>
      </w:r>
      <w:r>
        <w:rPr>
          <w:strike/>
        </w:rPr>
        <w:t xml:space="preserve">(5)</w:t>
      </w:r>
      <w:r>
        <w:t>))</w:t>
      </w:r>
      <w:r>
        <w:rPr/>
        <w:t xml:space="preserve"> </w:t>
      </w:r>
      <w:r>
        <w:rPr>
          <w:u w:val="single"/>
        </w:rPr>
        <w:t xml:space="preserve">(7)(a)</w:t>
      </w:r>
      <w:r>
        <w:rPr/>
        <w:t xml:space="preserve">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w:t>
      </w:r>
    </w:p>
    <w:p>
      <w:pPr>
        <w:spacing w:before="0" w:after="0" w:line="408" w:lineRule="exact"/>
        <w:ind w:left="0" w:right="0" w:firstLine="576"/>
        <w:jc w:val="left"/>
      </w:pPr>
      <w:r>
        <w:rPr>
          <w:u w:val="single"/>
        </w:rPr>
        <w:t xml:space="preserve">(b) Except for counties that have created a local forest fire protection division under section 2 of this act, u</w:t>
      </w:r>
      <w:r>
        <w:rPr/>
        <w:t xml:space="preserve">pon the collection of assessments</w:t>
      </w:r>
      <w:r>
        <w:rPr>
          <w:u w:val="single"/>
        </w:rPr>
        <w:t xml:space="preserve">,</w:t>
      </w:r>
      <w:r>
        <w:rPr/>
        <w:t xml:space="preserve">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w:t>
      </w:r>
    </w:p>
    <w:p>
      <w:pPr>
        <w:spacing w:before="0" w:after="0" w:line="408" w:lineRule="exact"/>
        <w:ind w:left="0" w:right="0" w:firstLine="576"/>
        <w:jc w:val="left"/>
      </w:pPr>
      <w:r>
        <w:rPr>
          <w:u w:val="single"/>
        </w:rPr>
        <w:t xml:space="preserve">(c) For counties that have created a local forest fire protection division under section 2 of this act, the county treasurer shall place all collections in a local account designated by the county legislative authority to be used exclusively for local forest fire prevention and response.</w:t>
      </w:r>
    </w:p>
    <w:p>
      <w:pPr>
        <w:spacing w:before="0" w:after="0" w:line="408" w:lineRule="exact"/>
        <w:ind w:left="0" w:right="0" w:firstLine="576"/>
        <w:jc w:val="left"/>
      </w:pPr>
      <w:r>
        <w:rPr>
          <w:u w:val="single"/>
        </w:rPr>
        <w:t xml:space="preserve">(d)</w:t>
      </w:r>
      <w:r>
        <w:rPr/>
        <w:t xml:space="preserve">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 lands or received from any other source for necessary administrative costs in connection with the enforcement of RCW 76.04.660.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When land against which forest protection assessments are outstanding is acquired for delinquent taxes and sold at public auction, the state </w:t>
      </w:r>
      <w:r>
        <w:rPr>
          <w:u w:val="single"/>
        </w:rPr>
        <w:t xml:space="preserve">or, if appropriate, the county</w:t>
      </w:r>
      <w:r>
        <w:rPr/>
        <w:t xml:space="preserve"> shall have a prior lien on the proceeds of sale over and above the amount necessary to satisfy the county's delinquent tax judgment. The county treasurer, in case the proceeds of sale exceed the amount of the delinquent tax judgment, shall immediately remit to the department </w:t>
      </w:r>
      <w:r>
        <w:rPr>
          <w:u w:val="single"/>
        </w:rPr>
        <w:t xml:space="preserve">or the county</w:t>
      </w:r>
      <w:r>
        <w:rPr/>
        <w:t xml:space="preserve"> the amount of the outstanding forest protection assessments.</w:t>
      </w:r>
    </w:p>
    <w:p>
      <w:pPr>
        <w:spacing w:before="0" w:after="0" w:line="408" w:lineRule="exact"/>
        <w:ind w:left="0" w:right="0" w:firstLine="576"/>
        <w:jc w:val="left"/>
      </w:pPr>
      <w:r>
        <w:t>((</w:t>
      </w:r>
      <w:r>
        <w:rPr>
          <w:strike/>
        </w:rPr>
        <w:t xml:space="preserve">(7)</w:t>
      </w:r>
      <w:r>
        <w:t>))</w:t>
      </w:r>
      <w:r>
        <w:rPr/>
        <w:t xml:space="preserve"> </w:t>
      </w:r>
      <w:r>
        <w:rPr>
          <w:u w:val="single"/>
        </w:rPr>
        <w:t xml:space="preserve">(9)(a)</w:t>
      </w:r>
      <w:r>
        <w:rPr/>
        <w:t xml:space="preserve"> All nonfederal public bodies owning or administering forest 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w:t>
      </w:r>
    </w:p>
    <w:p>
      <w:pPr>
        <w:spacing w:before="0" w:after="0" w:line="408" w:lineRule="exact"/>
        <w:ind w:left="0" w:right="0" w:firstLine="576"/>
        <w:jc w:val="left"/>
      </w:pPr>
      <w:r>
        <w:rPr>
          <w:u w:val="single"/>
        </w:rPr>
        <w:t xml:space="preserve">(b)</w:t>
      </w:r>
      <w:r>
        <w:rPr/>
        <w:t xml:space="preserve"> Unpaid assessments are not a lien against the nonfederal publicly owned land but shall constitute a debt by the nonfederal public body to the department </w:t>
      </w:r>
      <w:r>
        <w:rPr>
          <w:u w:val="single"/>
        </w:rPr>
        <w:t xml:space="preserve">or the appropriate county</w:t>
      </w:r>
      <w:r>
        <w:rPr/>
        <w:t xml:space="preserve"> and are subject to interest charges at the legal rate. </w:t>
      </w:r>
      <w:r>
        <w:t>((</w:t>
      </w:r>
      <w:r>
        <w:rPr>
          <w:strike/>
        </w:rPr>
        <w:t xml:space="preserve">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 public body, having failed to previously pay the forest protection assessments required of it by this section, which fails to suppress a fire on or originating from forest 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630</w:t>
      </w:r>
      <w:r>
        <w:rPr/>
        <w:t xml:space="preserve"> and 2010 1st sp.s. c 7 s 129 are each amended to read as follows:</w:t>
      </w:r>
    </w:p>
    <w:p>
      <w:pPr>
        <w:spacing w:before="0" w:after="0" w:line="408" w:lineRule="exact"/>
        <w:ind w:left="0" w:right="0" w:firstLine="576"/>
        <w:jc w:val="left"/>
      </w:pPr>
      <w:r>
        <w:rPr>
          <w:u w:val="single"/>
        </w:rPr>
        <w:t xml:space="preserve">(1)</w:t>
      </w:r>
      <w:r>
        <w:rPr/>
        <w:t xml:space="preserve"> There is created a landowner contingency forest fire suppression account in the state treasury. Moneys in the account may be spent only as provided in this section. Disbursements from the account shall be on authorization of the commissioner of public lands or the commissioner's designee. The account is subject to the allotment procedure provided under chapter 43.88 RCW, but no appropriation is required for disbursements.</w:t>
      </w:r>
    </w:p>
    <w:p>
      <w:pPr>
        <w:spacing w:before="0" w:after="0" w:line="408" w:lineRule="exact"/>
        <w:ind w:left="0" w:right="0" w:firstLine="576"/>
        <w:jc w:val="left"/>
      </w:pPr>
      <w:r>
        <w:rPr>
          <w:u w:val="single"/>
        </w:rPr>
        <w:t xml:space="preserve">(2)</w:t>
      </w:r>
      <w:r>
        <w:rPr/>
        <w:t xml:space="preserve"> The department may expend from this account the amounts as may be available and as it considers appropriate for the payment of emergency fire costs resulting from a participating landowner fire. The department may, when moneys are available from the landowner contingency forest fire suppression account, expend moneys for summarily abating, isolating, or reducing an extreme fire hazard under RCW 76.04.660. All moneys recovered as a result of the department's actions, from the owner or person responsible, under RCW 76.04.660 shall be deposited in the landowner contingency forest fire suppression account.</w:t>
      </w:r>
    </w:p>
    <w:p>
      <w:pPr>
        <w:spacing w:before="0" w:after="0" w:line="408" w:lineRule="exact"/>
        <w:ind w:left="0" w:right="0" w:firstLine="576"/>
        <w:jc w:val="left"/>
      </w:pPr>
      <w:r>
        <w:rPr>
          <w:u w:val="single"/>
        </w:rPr>
        <w:t xml:space="preserve">(3)</w:t>
      </w:r>
      <w:r>
        <w:rPr/>
        <w:t xml:space="preserve"> When a determination is made that the fire was started by other than a landowner operation, moneys expended from this account in the suppression of such fire shall be recovered from the general fund appropriations as may be available for emergency fire suppression costs. The department shall deposit in the landowner contingency forest fire suppression account moneys paid out of the account which are later recovered, less reasonable costs of recovery.</w:t>
      </w:r>
    </w:p>
    <w:p>
      <w:pPr>
        <w:spacing w:before="0" w:after="0" w:line="408" w:lineRule="exact"/>
        <w:ind w:left="0" w:right="0" w:firstLine="576"/>
        <w:jc w:val="left"/>
      </w:pPr>
      <w:r>
        <w:rPr>
          <w:u w:val="single"/>
        </w:rPr>
        <w:t xml:space="preserve">(4)(a)</w:t>
      </w:r>
      <w:r>
        <w:rPr/>
        <w:t xml:space="preserve"> This account shall be established and renewed by an annual special forest fire suppression account assessment paid by participating landowners at a rate to be established by the department. In establishing assessments, the department shall seek to establish and thereafter reestablish a balance in the account of three million dollars.</w:t>
      </w:r>
    </w:p>
    <w:p>
      <w:pPr>
        <w:spacing w:before="0" w:after="0" w:line="408" w:lineRule="exact"/>
        <w:ind w:left="0" w:right="0" w:firstLine="576"/>
        <w:jc w:val="left"/>
      </w:pPr>
      <w:r>
        <w:rPr>
          <w:u w:val="single"/>
        </w:rPr>
        <w:t xml:space="preserve">(b)</w:t>
      </w:r>
      <w:r>
        <w:rPr/>
        <w:t xml:space="preserve"> The department may establish a flat fee assessment of no more than seven dollars and fifty cents for participating landowners owning parcels of fifty acres or less. For participating landowners owning parcels larger than fifty acres, the department may charge the flat fee assessment plus a per acre assessment for every acre over fifty acres. The per acre assessment established by the department may not exceed fifteen cents per acre per year. The assessments </w:t>
      </w:r>
      <w:r>
        <w:rPr>
          <w:u w:val="single"/>
        </w:rPr>
        <w:t xml:space="preserve">established under this section</w:t>
      </w:r>
      <w:r>
        <w:rPr/>
        <w:t xml:space="preserve"> may differ to equitably distribute the assessment based on emergency fire suppression cost experience necessitated by landowner operations.</w:t>
      </w:r>
    </w:p>
    <w:p>
      <w:pPr>
        <w:spacing w:before="0" w:after="0" w:line="408" w:lineRule="exact"/>
        <w:ind w:left="0" w:right="0" w:firstLine="576"/>
        <w:jc w:val="left"/>
      </w:pPr>
      <w:r>
        <w:rPr>
          <w:u w:val="single"/>
        </w:rPr>
        <w:t xml:space="preserve">(c)</w:t>
      </w:r>
      <w:r>
        <w:rPr/>
        <w:t xml:space="preserve"> Amounts assessed for this account shall be a lien upon the forest lands with respect to which the assessment is made and may be collected as directed by the department in the same manner as forest protection assessments.</w:t>
      </w:r>
    </w:p>
    <w:p>
      <w:pPr>
        <w:spacing w:before="0" w:after="0" w:line="408" w:lineRule="exact"/>
        <w:ind w:left="0" w:right="0" w:firstLine="576"/>
        <w:jc w:val="left"/>
      </w:pPr>
      <w:r>
        <w:rPr>
          <w:u w:val="single"/>
        </w:rPr>
        <w:t xml:space="preserve">(d)</w:t>
      </w:r>
      <w:r>
        <w:rPr/>
        <w:t xml:space="preserve"> Payment of emergency costs from this account shall in no way restrict the right of the department to recover costs pursuant to RCW 76.04.495 or other laws.</w:t>
      </w:r>
    </w:p>
    <w:p>
      <w:pPr>
        <w:spacing w:before="0" w:after="0" w:line="408" w:lineRule="exact"/>
        <w:ind w:left="0" w:right="0" w:firstLine="576"/>
        <w:jc w:val="left"/>
      </w:pPr>
      <w:r>
        <w:rPr>
          <w:u w:val="single"/>
        </w:rPr>
        <w:t xml:space="preserve">(e) Any assessments collected under this chapter in a county that has created a local forest fire protection division under section 2 of this act must be transferred to the county where the assessments were collected at least once per fiscal year.</w:t>
      </w:r>
    </w:p>
    <w:p>
      <w:pPr>
        <w:spacing w:before="0" w:after="0" w:line="408" w:lineRule="exact"/>
        <w:ind w:left="0" w:right="0" w:firstLine="576"/>
        <w:jc w:val="left"/>
      </w:pPr>
      <w:r>
        <w:rPr>
          <w:u w:val="single"/>
        </w:rPr>
        <w:t xml:space="preserve">(5)</w:t>
      </w:r>
      <w:r>
        <w:rPr/>
        <w:t xml:space="preserve"> When the department determines that a forest fire was started in the course of or as a result of a landowner operation, the determination shall be final, unless, within ninety days of the notification, or an interested party serves a request for a hearing before the department. The hearing shall constitute an adjudicative proceeding under chapter 34.05 RCW, the administrative procedure act, and an appeal shall be in accordance with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2015 c 182 s 5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 </w:t>
      </w:r>
      <w:r>
        <w:rPr>
          <w:u w:val="single"/>
        </w:rPr>
        <w:t xml:space="preserve">in counties that have not created a local forest fire protection division under section 2 of this act</w:t>
      </w:r>
      <w:r>
        <w:rPr/>
        <w:t xml:space="preserve">;</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w:t>
      </w:r>
      <w:r>
        <w:rPr>
          <w:u w:val="single"/>
        </w:rPr>
        <w:t xml:space="preserve">(i)</w:t>
      </w:r>
      <w:r>
        <w:rPr/>
        <w:t xml:space="preserv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w:t>
      </w:r>
    </w:p>
    <w:p>
      <w:pPr>
        <w:spacing w:before="0" w:after="0" w:line="408" w:lineRule="exact"/>
        <w:ind w:left="0" w:right="0" w:firstLine="576"/>
        <w:jc w:val="left"/>
      </w:pPr>
      <w:r>
        <w:rPr>
          <w:u w:val="single"/>
        </w:rPr>
        <w:t xml:space="preserve">(ii)</w:t>
      </w:r>
      <w:r>
        <w:rPr/>
        <w:t xml:space="preserve">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016</w:t>
      </w:r>
      <w:r>
        <w:rPr/>
        <w:t xml:space="preserve"> and 1993 c 196 s 1 are each amended to read as follows:</w:t>
      </w:r>
    </w:p>
    <w:p>
      <w:pPr>
        <w:spacing w:before="0" w:after="0" w:line="408" w:lineRule="exact"/>
        <w:ind w:left="0" w:right="0" w:firstLine="576"/>
        <w:jc w:val="left"/>
      </w:pPr>
      <w:r>
        <w:rPr/>
        <w:t xml:space="preserve">The department</w:t>
      </w:r>
      <w:r>
        <w:rPr>
          <w:u w:val="single"/>
        </w:rPr>
        <w:t xml:space="preserve">, and any county that has created a local forest fire protection division under section 2 of this act,</w:t>
      </w:r>
      <w:r>
        <w:rPr/>
        <w:t xml:space="preserve"> when acting, in good faith, in its statutory capacity as a fire prevention and suppression agency, is carrying out duties owed to the public in general and not to any individual person or class of persons separate and apart from the public. Nothing contained in this title, including but not limited to any provision dealing with payment or collection of forest protection or fire suppression assessments, may be construed to evidence a legislative intent that the duty to prevent and suppress forest fires is owed to any individual person or class of persons separate and apart from the public in general. This section does not alter the department's duties and responsibilities as a landowner.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develop a twenty-year strategic plan to treat the two million seven hundred thousand acres of Washington forestland identified by the department as being in poor forest health condition. The department must develop the forest health and wildfire prevention strategic plan in consultation with relevant local, state, and federal agencies, tribes, forest landowners, representatives from milling and log transportation industries, and other interested parties from the nonprofit and commercial sectors.</w:t>
      </w:r>
    </w:p>
    <w:p>
      <w:pPr>
        <w:spacing w:before="0" w:after="0" w:line="408" w:lineRule="exact"/>
        <w:ind w:left="0" w:right="0" w:firstLine="576"/>
        <w:jc w:val="left"/>
      </w:pPr>
      <w:r>
        <w:rPr/>
        <w:t xml:space="preserve">(2) The strategic plan must be updated at least every two years and must include timelines and, at minimum, strategies to:</w:t>
      </w:r>
    </w:p>
    <w:p>
      <w:pPr>
        <w:spacing w:before="0" w:after="0" w:line="408" w:lineRule="exact"/>
        <w:ind w:left="0" w:right="0" w:firstLine="576"/>
        <w:jc w:val="left"/>
      </w:pPr>
      <w:r>
        <w:rPr/>
        <w:t xml:space="preserve">(a) Facilitate communication and coordination between local, state, federal, and tribal fire personnel;</w:t>
      </w:r>
    </w:p>
    <w:p>
      <w:pPr>
        <w:spacing w:before="0" w:after="0" w:line="408" w:lineRule="exact"/>
        <w:ind w:left="0" w:right="0" w:firstLine="576"/>
        <w:jc w:val="left"/>
      </w:pPr>
      <w:r>
        <w:rPr/>
        <w:t xml:space="preserve">(b) Improve public education and outreach regarding fire prevention and suppression activities;</w:t>
      </w:r>
    </w:p>
    <w:p>
      <w:pPr>
        <w:spacing w:before="0" w:after="0" w:line="408" w:lineRule="exact"/>
        <w:ind w:left="0" w:right="0" w:firstLine="576"/>
        <w:jc w:val="left"/>
      </w:pPr>
      <w:r>
        <w:rPr/>
        <w:t xml:space="preserve">(c) Streamline contract procedures to perform forest health treatments on public and private lands;</w:t>
      </w:r>
    </w:p>
    <w:p>
      <w:pPr>
        <w:spacing w:before="0" w:after="0" w:line="408" w:lineRule="exact"/>
        <w:ind w:left="0" w:right="0" w:firstLine="576"/>
        <w:jc w:val="left"/>
      </w:pPr>
      <w:r>
        <w:rPr/>
        <w:t xml:space="preserve">(d) Expand technical assistance programs for local governmental entities and private landowners; and</w:t>
      </w:r>
    </w:p>
    <w:p>
      <w:pPr>
        <w:spacing w:before="0" w:after="0" w:line="408" w:lineRule="exact"/>
        <w:ind w:left="0" w:right="0" w:firstLine="576"/>
        <w:jc w:val="left"/>
      </w:pPr>
      <w:r>
        <w:rPr/>
        <w:t xml:space="preserve">(e) Address barriers to wildfire prevention and suppression activities, particularly in rural areas where resources may be limited.</w:t>
      </w:r>
    </w:p>
    <w:p>
      <w:pPr>
        <w:spacing w:before="0" w:after="0" w:line="408" w:lineRule="exact"/>
        <w:ind w:left="0" w:right="0" w:firstLine="576"/>
        <w:jc w:val="left"/>
      </w:pPr>
      <w:r>
        <w:rPr/>
        <w:t xml:space="preserve">(3) The department must report on the forest health and wildfire prevention strategic plan and its assessment of progress to the appropriate committees of the legislature by December 31, 2017. The report must include relevant fiscal information and recommendations for any legislative action needed to execute the strategic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on the state or its officers and employees, or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2016, the department of natural resources must recommend to the appropriate committees of the legislature options to incentivize adoption of the International Wildland Urban Interface Code, published by the International Code Council, Inc., particularly by counties at high risk during wildfire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and diversity of land ownership. The plan shall establish priorities that the department of natural resources shall use to allocate allowable emissions, including but not limited to,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 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w:t>
      </w:r>
      <w:r>
        <w:rPr>
          <w:u w:val="single"/>
        </w:rPr>
        <w:t xml:space="preserve">(a) By December 31, 2017, the department of natural resources must, in consultation with the department, other relevant state and federal agencies, and public and private landowners engaged in silvicultural forest burning, update the smoke management plan developed under subsection (2) of this section. The purpose of the smoke management plan is to provide for the continuation of silvicultural or forestland burning as a resource management tool and to provide increased opportunities for prescribed burning. The primary purpose of the smoke management plan update is to increase transparency and predictability for prescribed burns.</w:t>
      </w:r>
    </w:p>
    <w:p>
      <w:pPr>
        <w:spacing w:before="0" w:after="0" w:line="408" w:lineRule="exact"/>
        <w:ind w:left="0" w:right="0" w:firstLine="576"/>
        <w:jc w:val="left"/>
      </w:pPr>
      <w:r>
        <w:rPr>
          <w:u w:val="single"/>
        </w:rPr>
        <w:t xml:space="preserve">(b) The department of natural resources must, at minimum, update or include procedures in the smoke management plan according to the following directives:</w:t>
      </w:r>
    </w:p>
    <w:p>
      <w:pPr>
        <w:spacing w:before="0" w:after="0" w:line="408" w:lineRule="exact"/>
        <w:ind w:left="0" w:right="0" w:firstLine="576"/>
        <w:jc w:val="left"/>
      </w:pPr>
      <w:r>
        <w:rPr>
          <w:u w:val="single"/>
        </w:rPr>
        <w:t xml:space="preserve">(i) The minimum threshold to be considered a large fire in areas near communities or prone to inversions must be increased to one thousand tons per burn and the threshold for pile burns in low-risk areas must be increased to two thousand tons per burn;</w:t>
      </w:r>
    </w:p>
    <w:p>
      <w:pPr>
        <w:spacing w:before="0" w:after="0" w:line="408" w:lineRule="exact"/>
        <w:ind w:left="0" w:right="0" w:firstLine="576"/>
        <w:jc w:val="left"/>
      </w:pPr>
      <w:r>
        <w:rPr>
          <w:u w:val="single"/>
        </w:rPr>
        <w:t xml:space="preserve">(ii) The department of natural resources must issue forty-eight hour forecasts for permitted prescribed burns;</w:t>
      </w:r>
    </w:p>
    <w:p>
      <w:pPr>
        <w:spacing w:before="0" w:after="0" w:line="408" w:lineRule="exact"/>
        <w:ind w:left="0" w:right="0" w:firstLine="576"/>
        <w:jc w:val="left"/>
      </w:pPr>
      <w:r>
        <w:rPr>
          <w:u w:val="single"/>
        </w:rPr>
        <w:t xml:space="preserve">(iii) The department of natural resources must authorize individual prescribed burns twenty-four hours prior to ignition of the fire. Any burn decision made twenty-four hours in advance is subject to change if meteorological conditions or conditions affecting smoke dispersion are different from those anticipated and either pose an imminent and significant threat to public health or would cause a violation of air quality standards;</w:t>
      </w:r>
    </w:p>
    <w:p>
      <w:pPr>
        <w:spacing w:before="0" w:after="0" w:line="408" w:lineRule="exact"/>
        <w:ind w:left="0" w:right="0" w:firstLine="576"/>
        <w:jc w:val="left"/>
      </w:pPr>
      <w:r>
        <w:rPr>
          <w:u w:val="single"/>
        </w:rPr>
        <w:t xml:space="preserve">(iv) The department of natural resources may, by special burn permit, authorize prescribed burning on days when the department would otherwise deny burning if the denial of such a permit would threaten imminent and substantial economic loss. In authorizing such burning, the department of natural resources must limit the amount of material that can be burned in any one day and may only authorize burning that is not likely to cause exceedances of air quality standards;</w:t>
      </w:r>
    </w:p>
    <w:p>
      <w:pPr>
        <w:spacing w:before="0" w:after="0" w:line="408" w:lineRule="exact"/>
        <w:ind w:left="0" w:right="0" w:firstLine="576"/>
        <w:jc w:val="left"/>
      </w:pPr>
      <w:r>
        <w:rPr>
          <w:u w:val="single"/>
        </w:rPr>
        <w:t xml:space="preserve">(v) In addition to the priorities listed in subsection (2) of this section, the department of natural resources must prioritize burn projects according to the public benefits, including forest health, wildfire prevention, safety, and public health;</w:t>
      </w:r>
    </w:p>
    <w:p>
      <w:pPr>
        <w:spacing w:before="0" w:after="0" w:line="408" w:lineRule="exact"/>
        <w:ind w:left="0" w:right="0" w:firstLine="576"/>
        <w:jc w:val="left"/>
      </w:pPr>
      <w:r>
        <w:rPr>
          <w:u w:val="single"/>
        </w:rPr>
        <w:t xml:space="preserve">(vi) The department of natural resources must clarify the criteria it considers when determining whether a burn "has the potential to affect communities" with respect to multiple day burns;</w:t>
      </w:r>
    </w:p>
    <w:p>
      <w:pPr>
        <w:spacing w:before="0" w:after="0" w:line="408" w:lineRule="exact"/>
        <w:ind w:left="0" w:right="0" w:firstLine="576"/>
        <w:jc w:val="left"/>
      </w:pPr>
      <w:r>
        <w:rPr>
          <w:u w:val="single"/>
        </w:rPr>
        <w:t xml:space="preserve">(vii) The department of natural resources must cooperate with prescribed burn managers with approved multiple day burn permits to ensure predictability and to maximize opportunities to burn on each day of the approved multiple day burn permit; and</w:t>
      </w:r>
    </w:p>
    <w:p>
      <w:pPr>
        <w:spacing w:before="0" w:after="0" w:line="408" w:lineRule="exact"/>
        <w:ind w:left="0" w:right="0" w:firstLine="576"/>
        <w:jc w:val="left"/>
      </w:pPr>
      <w:r>
        <w:rPr>
          <w:u w:val="single"/>
        </w:rPr>
        <w:t xml:space="preserve">(viii) The department of natural resources may not deny a prescribed burn solely on the potential for smoke intrusions into communities unless there is clear evidence of an imminent and significant threat to public health or clear evidence that the smoke intrusion would cause a violation of air quality standards.</w:t>
      </w:r>
    </w:p>
    <w:p>
      <w:pPr>
        <w:spacing w:before="0" w:after="0" w:line="408" w:lineRule="exact"/>
        <w:ind w:left="0" w:right="0" w:firstLine="576"/>
        <w:jc w:val="left"/>
      </w:pPr>
      <w:r>
        <w:rPr>
          <w:u w:val="single"/>
        </w:rPr>
        <w:t xml:space="preserve">(4)</w:t>
      </w:r>
      <w:r>
        <w:rPr/>
        <w:t xml:space="preserve">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may conduct a limited, seasonal ambient air quality monitoring program to measure the effects of forest health burning conducted under subsection </w:t>
      </w:r>
      <w:r>
        <w:t>((</w:t>
      </w:r>
      <w:r>
        <w:rPr>
          <w:strike/>
        </w:rPr>
        <w:t xml:space="preserve">(4)</w:t>
      </w:r>
      <w:r>
        <w:t>))</w:t>
      </w:r>
      <w:r>
        <w:rPr/>
        <w:t xml:space="preserve"> </w:t>
      </w:r>
      <w:r>
        <w:rPr>
          <w:u w:val="single"/>
        </w:rPr>
        <w:t xml:space="preserve">(5)</w:t>
      </w:r>
      <w:r>
        <w:rPr/>
        <w:t xml:space="preserve"> of this section. The monitoring program may be developed in consultation with the department of natural resources, private and public forest landowners, academic experts in forest health issues, and the general public.</w:t>
      </w:r>
    </w:p>
    <w:p/>
    <w:p>
      <w:pPr>
        <w:jc w:val="center"/>
      </w:pPr>
      <w:r>
        <w:rPr>
          <w:b/>
        </w:rPr>
        <w:t>--- END ---</w:t>
      </w:r>
    </w:p>
    <w:sectPr>
      <w:pgNumType w:start="1"/>
      <w:footerReference xmlns:r="http://schemas.openxmlformats.org/officeDocument/2006/relationships" r:id="R150177abbbf443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8e466808b04f31" /><Relationship Type="http://schemas.openxmlformats.org/officeDocument/2006/relationships/footer" Target="/word/footer.xml" Id="R150177abbbf443e4" /></Relationships>
</file>