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436da49db4ee0" /></Relationships>
</file>

<file path=word/document.xml><?xml version="1.0" encoding="utf-8"?>
<w:document xmlns:w="http://schemas.openxmlformats.org/wordprocessingml/2006/main">
  <w:body>
    <w:p>
      <w:r>
        <w:t>S-5175.1</w:t>
      </w:r>
    </w:p>
    <w:p>
      <w:pPr>
        <w:jc w:val="center"/>
      </w:pPr>
      <w:r>
        <w:t>_______________________________________________</w:t>
      </w:r>
    </w:p>
    <w:p/>
    <w:p>
      <w:pPr>
        <w:jc w:val="center"/>
      </w:pPr>
      <w:r>
        <w:rPr>
          <w:b/>
        </w:rPr>
        <w:t>SENATE BILL 6677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Miloscia</w:t>
      </w:r>
    </w:p>
    <w:p/>
    <w:p>
      <w:r>
        <w:rPr>
          <w:t xml:space="preserve">Read first time 03/09/16.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jail registry information;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w:t>
      </w:r>
      <w:r>
        <w:rPr>
          <w:u w:val="single"/>
        </w:rPr>
        <w:t xml:space="preserve">employment security department,</w:t>
      </w:r>
      <w:r>
        <w:rPr/>
        <w:t xml:space="preserve"> or the successor entities of these organizations, for the purpose of research in the public interest. Data disclosed for research purposes must comply with relevant state and federal statutes; or</w:t>
      </w:r>
    </w:p>
    <w:p>
      <w:pPr>
        <w:spacing w:before="0" w:after="0" w:line="408" w:lineRule="exact"/>
        <w:ind w:left="0" w:right="0" w:firstLine="576"/>
        <w:jc w:val="left"/>
      </w:pPr>
      <w:r>
        <w:rPr/>
        <w:t xml:space="preserve">(f)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
      <w:pPr>
        <w:jc w:val="center"/>
      </w:pPr>
      <w:r>
        <w:rPr>
          <w:b/>
        </w:rPr>
        <w:t>--- END ---</w:t>
      </w:r>
    </w:p>
    <w:sectPr>
      <w:pgNumType w:start="1"/>
      <w:footerReference xmlns:r="http://schemas.openxmlformats.org/officeDocument/2006/relationships" r:id="Ra21979d1f4ca45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2a2ae9c154730" /><Relationship Type="http://schemas.openxmlformats.org/officeDocument/2006/relationships/footer" Target="/word/footer.xml" Id="Ra21979d1f4ca45ac" /></Relationships>
</file>