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3c46e28f9a48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Kohl-Welles, Frockt, Liias, Bailey, and McAuliffe</w:t>
      </w:r>
    </w:p>
    <w:p/>
    <w:p>
      <w:r>
        <w:rPr>
          <w:t xml:space="preserve">Read first time 01/14/15.  </w:t>
        </w:rPr>
      </w:r>
      <w:r>
        <w:rPr>
          <w:t xml:space="preserve">Referred to Committee on Higher Education.</w:t>
        </w:rPr>
      </w:r>
    </w:p>
    <w:p>
      <w:r>
        <w:br/>
      </w:r>
    </w:p>
    <w:p>
      <w:r>
        <w:fldChar w:fldCharType="begin"/>
      </w:r>
      <w:r>
        <w:instrText xml:space="default"> ADVANCE \y328 </w:instrText>
      </w:r>
      <w:r>
        <w:fldChar w:fldCharType="end"/>
      </w:r>
    </w:p>
    <w:p>
      <w:pPr>
        <w:ind w:left="0" w:right="0" w:firstLine="360"/>
        <w:jc w:val="both"/>
      </w:pPr>
      <w:r>
        <w:rPr/>
        <w:t xml:space="preserve">AN ACT Relating to precollege placement measures; amending RCW 28B.77.020; and adding a new section to chapter 28B.10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10</w:t>
      </w:r>
      <w:r>
        <w:rPr/>
        <w:t xml:space="preserve"> RCW to read as follows:</w:t>
      </w:r>
    </w:p>
    <w:p>
      <w:pPr>
        <w:ind w:left="0" w:right="0" w:firstLine="360"/>
        <w:jc w:val="both"/>
      </w:pPr>
      <w:r>
        <w:rPr/>
        <w:t xml:space="preserve">State universities, regional universities, and The Evergreen State College may use multiple measures to determine whether a student must enroll in a precollege course including, but not limited to, placement tests, the SAT, high school transcripts, college transcripts, or initial class performance. Additionally, state universities, regional universities, and The Evergreen State College must post all the available options for course placement on their web sites and in their admissions materials.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2013 2nd sp.s. c 25 s 6 are each amended to read as follows:</w:t>
      </w:r>
    </w:p>
    <w:p>
      <w:pPr>
        <w:ind w:left="0" w:right="0" w:firstLine="360"/>
        <w:jc w:val="both"/>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ind w:left="0" w:right="0" w:firstLine="360"/>
        <w:jc w:val="both"/>
      </w:pPr>
      <w:r>
        <w:rPr/>
        <w:t xml:space="preserve">(a) The goals must address the needs of Washington residents to reach higher levels of educational attainment and Washington's workforce needs for certificates and degrees in particular fields of study.</w:t>
      </w:r>
    </w:p>
    <w:p>
      <w:pPr>
        <w:ind w:left="0" w:right="0" w:firstLine="360"/>
        <w:jc w:val="both"/>
      </w:pPr>
      <w:r>
        <w:rPr/>
        <w:t xml:space="preserve">(b) The council shall identify the resources it deems appropriate to meet statewide goals and also recognize current state economic conditions and state resources.</w:t>
      </w:r>
    </w:p>
    <w:p>
      <w:pPr>
        <w:ind w:left="0" w:right="0" w:firstLine="360"/>
        <w:jc w:val="both"/>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ind w:left="0" w:right="0" w:firstLine="360"/>
        <w:jc w:val="both"/>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ind w:left="0" w:right="0" w:firstLine="360"/>
        <w:jc w:val="both"/>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ind w:left="0" w:right="0" w:firstLine="360"/>
        <w:jc w:val="both"/>
      </w:pPr>
      <w:r>
        <w:rPr/>
        <w:t xml:space="preserve">(a) Strategic planning, which includes setting benchmarks and goals for long-term degree production generally and in particular fields of study;</w:t>
      </w:r>
    </w:p>
    <w:p>
      <w:pPr>
        <w:ind w:left="0" w:right="0" w:firstLine="360"/>
        <w:jc w:val="both"/>
      </w:pPr>
      <w:r>
        <w:rPr/>
        <w:t xml:space="preserve">(b) Expanding access, affordability, quality, efficiency, and accountability among the various institutions of higher education;</w:t>
      </w:r>
    </w:p>
    <w:p>
      <w:pPr>
        <w:ind w:left="0" w:right="0" w:firstLine="360"/>
        <w:jc w:val="both"/>
      </w:pPr>
      <w:r>
        <w:rPr/>
        <w:t xml:space="preserve">(c) Higher education finance planning and strategic investments including budget recommendations necessary to meet statewide goals;</w:t>
      </w:r>
    </w:p>
    <w:p>
      <w:pPr>
        <w:ind w:left="0" w:right="0" w:firstLine="360"/>
        <w:jc w:val="both"/>
      </w:pPr>
      <w:r>
        <w:rPr/>
        <w:t xml:space="preserve">(d) System design and coordination;</w:t>
      </w:r>
    </w:p>
    <w:p>
      <w:pPr>
        <w:ind w:left="0" w:right="0" w:firstLine="360"/>
        <w:jc w:val="both"/>
      </w:pPr>
      <w:r>
        <w:rPr/>
        <w:t xml:space="preserve">(e) Improving student transitions;</w:t>
      </w:r>
    </w:p>
    <w:p>
      <w:pPr>
        <w:ind w:left="0" w:right="0" w:firstLine="360"/>
        <w:jc w:val="both"/>
      </w:pPr>
      <w:r>
        <w:rPr/>
        <w:t xml:space="preserve">(f) Higher education data and analysis, in collaboration with the education data center, which includes outcomes for recruitment, retention, and success of students;</w:t>
      </w:r>
    </w:p>
    <w:p>
      <w:pPr>
        <w:ind w:left="0" w:right="0" w:firstLine="360"/>
        <w:jc w:val="both"/>
      </w:pPr>
      <w:r>
        <w:rPr/>
        <w:t xml:space="preserve">(g) College and career access preparedness, in collaboration with the office of the superintendent of public instruction and the state board of education;</w:t>
      </w:r>
    </w:p>
    <w:p>
      <w:pPr>
        <w:ind w:left="0" w:right="0" w:firstLine="360"/>
        <w:jc w:val="both"/>
      </w:pPr>
      <w:r>
        <w:rPr/>
        <w:t xml:space="preserve">(h) Expanding participation and success for racial and ethnic minorities in higher education;</w:t>
      </w:r>
    </w:p>
    <w:p>
      <w:pPr>
        <w:ind w:left="0" w:right="0" w:firstLine="360"/>
        <w:jc w:val="both"/>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ind w:left="0" w:right="0" w:firstLine="360"/>
        <w:jc w:val="both"/>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ind w:left="0" w:right="0" w:firstLine="360"/>
        <w:jc w:val="both"/>
      </w:pPr>
      <w:r>
        <w:rPr/>
        <w:t xml:space="preserve">(k) Relevant policy research.</w:t>
      </w:r>
    </w:p>
    <w:p>
      <w:pPr>
        <w:ind w:left="0" w:right="0" w:firstLine="360"/>
        <w:jc w:val="both"/>
      </w:pPr>
      <w:r>
        <w:rPr/>
        <w:t xml:space="preserve">(4) As needed, the council must conduct system reviews consistent with RCW 28B.77.080.</w:t>
      </w:r>
    </w:p>
    <w:p>
      <w:pPr>
        <w:ind w:left="0" w:right="0" w:firstLine="360"/>
        <w:jc w:val="both"/>
      </w:pPr>
      <w:r>
        <w:rPr/>
        <w:t xml:space="preserve">(5) The council shall facilitate the development and expansion of innovative practices within, between, and among the sectors to increase educational attainment and assess the effectiveness of the innovations.</w:t>
      </w:r>
    </w:p>
    <w:p>
      <w:pPr>
        <w:ind w:left="0" w:right="0" w:firstLine="360"/>
        <w:jc w:val="both"/>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ind w:left="0" w:right="0" w:firstLine="360"/>
        <w:jc w:val="both"/>
      </w:pPr>
      <w:r>
        <w:rPr/>
        <w:t xml:space="preserve">(a) Identify barriers to increasing educational attainment, evaluate effectiveness of various educational models, identify best practices, and recommend methods to overcome barriers;</w:t>
      </w:r>
    </w:p>
    <w:p>
      <w:pPr>
        <w:ind w:left="0" w:right="0" w:firstLine="360"/>
        <w:jc w:val="both"/>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ind w:left="0" w:right="0" w:firstLine="360"/>
        <w:jc w:val="both"/>
      </w:pPr>
      <w:r>
        <w:rPr/>
        <w:t xml:space="preserve">(c) Assess educational achievement disaggregated by income level, age, gender, race and ethnicity, country of origin, and other relevant demographic groups working with data from the education data center;</w:t>
      </w:r>
    </w:p>
    <w:p>
      <w:pPr>
        <w:ind w:left="0" w:right="0" w:firstLine="360"/>
        <w:jc w:val="both"/>
      </w:pPr>
      <w:r>
        <w:rPr/>
        <w:t xml:space="preserve">(d) Track progress toward meeting the state's goals;</w:t>
      </w:r>
    </w:p>
    <w:p>
      <w:pPr>
        <w:ind w:left="0" w:right="0" w:firstLine="360"/>
        <w:jc w:val="both"/>
      </w:pPr>
      <w:r>
        <w:rPr/>
        <w:t xml:space="preserve">(e) Communicate results and provide access to data analysis to policymakers, the superintendent of public instruction, institutions of higher education, students, and the public; and</w:t>
      </w:r>
    </w:p>
    <w:p>
      <w:pPr>
        <w:ind w:left="0" w:right="0" w:firstLine="360"/>
        <w:jc w:val="both"/>
      </w:pPr>
      <w:r>
        <w:rPr/>
        <w:t xml:space="preserve">(f) Use data from the education data center wherever appropriate to conduct duties in (a) through (e) of this subsection.</w:t>
      </w:r>
    </w:p>
    <w:p>
      <w:pPr>
        <w:ind w:left="0" w:right="0" w:firstLine="360"/>
        <w:jc w:val="both"/>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ind w:left="0" w:right="0" w:firstLine="360"/>
        <w:jc w:val="both"/>
      </w:pPr>
      <w:r>
        <w:rPr/>
        <w:t xml:space="preserve">(a) Setting minimum college admission standards for four-year institutions of higher education, including</w:t>
      </w:r>
      <w:r>
        <w:rPr>
          <w:u w:val="single"/>
        </w:rPr>
        <w:t xml:space="preserve">:</w:t>
      </w:r>
    </w:p>
    <w:p>
      <w:pPr>
        <w:ind w:left="0" w:right="0" w:firstLine="360"/>
        <w:jc w:val="both"/>
      </w:pPr>
      <w:r>
        <w:rPr>
          <w:u w:val="single"/>
        </w:rPr>
        <w:t xml:space="preserve">(i) A</w:t>
      </w:r>
      <w:r>
        <w:rPr/>
        <w:t xml:space="preserve"> requirement that coursework in American sign language or an American Indian language satisfies any requirement for instruction in a language other than English that the council or the institutions may establish as a general undergraduate admissions requirement; </w:t>
      </w:r>
      <w:r>
        <w:rPr>
          <w:u w:val="single"/>
        </w:rPr>
        <w:t xml:space="preserve">and</w:t>
      </w:r>
    </w:p>
    <w:p>
      <w:pPr>
        <w:ind w:left="0" w:right="0" w:firstLine="360"/>
        <w:jc w:val="both"/>
      </w:pPr>
      <w:r>
        <w:rPr>
          <w:u w:val="single"/>
        </w:rPr>
        <w:t xml:space="preserve">(ii) Encouragement of the use of multiple measures to determine whether a student must enroll in a precollege course, such as placement tests, the SAT, high school transcripts, college transcripts, or initial class performance;</w:t>
      </w:r>
    </w:p>
    <w:p>
      <w:pPr>
        <w:ind w:left="0" w:right="0" w:firstLine="360"/>
        <w:jc w:val="both"/>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ind w:left="0" w:right="0" w:firstLine="360"/>
        <w:jc w:val="both"/>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ind w:left="0" w:right="0" w:firstLine="360"/>
        <w:jc w:val="both"/>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ind w:left="0" w:right="0" w:firstLine="360"/>
        <w:jc w:val="both"/>
      </w:pPr>
      <w:r>
        <w:rPr/>
        <w:t xml:space="preserve">(8) The council directs the work of the office, which includes administration of student financial aid programs under RCW 28B.76.090, including the state need grant and other scholarships, the Washington advanced college tuition payment program, and work-study programs.</w:t>
      </w:r>
    </w:p>
    <w:p>
      <w:pPr>
        <w:ind w:left="0" w:right="0" w:firstLine="360"/>
        <w:jc w:val="both"/>
      </w:pPr>
      <w:r>
        <w:rPr/>
        <w:t xml:space="preserve">(9) The council may administer state and federal grants and programs including but not limited to those programs that provide incentives for improvements related to increased access and success in postsecondary education.</w:t>
      </w:r>
    </w:p>
    <w:p>
      <w:pPr>
        <w:ind w:left="0" w:right="0" w:firstLine="360"/>
        <w:jc w:val="both"/>
      </w:pPr>
      <w:r>
        <w:rPr/>
        <w:t xml:space="preserve">(10) The council shall protect higher education consumers including:</w:t>
      </w:r>
    </w:p>
    <w:p>
      <w:pPr>
        <w:ind w:left="0" w:right="0" w:firstLine="360"/>
        <w:jc w:val="both"/>
      </w:pPr>
      <w:r>
        <w:rPr/>
        <w:t xml:space="preserve">(a) Approving degree-granting postsecondary institutions consistent with existing statutory criteria;</w:t>
      </w:r>
    </w:p>
    <w:p>
      <w:pPr>
        <w:ind w:left="0" w:right="0" w:firstLine="360"/>
        <w:jc w:val="both"/>
      </w:pPr>
      <w:r>
        <w:rPr/>
        <w:t xml:space="preserve">(b) Establishing minimum criteria to assess whether students who attend proprietary institutions of higher education shall be eligible for the state need grant and other forms of state financial aid.</w:t>
      </w:r>
    </w:p>
    <w:p>
      <w:pPr>
        <w:ind w:left="0" w:right="0" w:firstLine="360"/>
        <w:jc w:val="both"/>
      </w:pPr>
      <w:r>
        <w:rPr/>
        <w:t xml:space="preserve">(i) The criteria shall include retention rates, completion rates, loan default rates, and annual tuition increases, among other criteria for students who receive state need grant as in chapter 28B.92 RCW and any other state financial aid.</w:t>
      </w:r>
    </w:p>
    <w:p>
      <w:pPr>
        <w:ind w:left="0" w:right="0" w:firstLine="360"/>
        <w:jc w:val="both"/>
      </w:pPr>
      <w:r>
        <w:rPr/>
        <w:t xml:space="preserve">(ii) The council may remove proprietary institutions of higher education from eligibility for the state need grant or other form of state financial aid if it finds that the institution or college does not meet minimum criteria.</w:t>
      </w:r>
    </w:p>
    <w:p>
      <w:pPr>
        <w:ind w:left="0" w:right="0" w:firstLine="360"/>
        <w:jc w:val="both"/>
      </w:pPr>
      <w:r>
        <w:rPr/>
        <w:t xml:space="preserve">(iii) The council shall report by December 1, 2014, to the joint higher education committee in RCW 44.04.360 on the outcomes of students receiving state need grants, impacts on meeting the state's higher education goals for educational attainment, and options for prioritization of the state need grant and possible consequences of implementing each option. When examining options for prioritizing the state need grant the council shall consider awarding grants based on need rather than date of application and making awards based on other criteria selected by the council.</w:t>
      </w:r>
    </w:p>
    <w:p>
      <w:pPr>
        <w:ind w:left="0" w:right="0" w:firstLine="360"/>
        <w:jc w:val="both"/>
      </w:pPr>
      <w:r>
        <w:rPr/>
        <w:t xml:space="preserve">(11) The council shall adopt residency requirements by rule.</w:t>
      </w:r>
    </w:p>
    <w:p>
      <w:pPr>
        <w:ind w:left="0" w:right="0" w:firstLine="360"/>
        <w:jc w:val="both"/>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ind w:left="0" w:right="0" w:firstLine="360"/>
        <w:jc w:val="both"/>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ind w:left="0" w:right="0" w:firstLine="360"/>
        <w:jc w:val="both"/>
      </w:pPr>
      <w:r>
        <w:rPr/>
        <w:t xml:space="preserve">(14) The council shall represent the broad public interest above the interests of the individual institutions of higher education.</w:t>
      </w:r>
    </w:p>
    <w:p/>
    <w:p>
      <w:pPr>
        <w:jc w:val="center"/>
      </w:pPr>
      <w:r>
        <w:rPr>
          <w:b/>
        </w:rPr>
        <w:t>--- END ---</w:t>
      </w:r>
    </w:p>
    <w:sectPr>
      <w:pgNumType w:start="1"/>
      <w:footerReference xmlns:r="http://schemas.openxmlformats.org/officeDocument/2006/relationships" r:id="Re04ea75a2e9547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1db0f85d024910" /><Relationship Type="http://schemas.openxmlformats.org/officeDocument/2006/relationships/footer" Target="/word/footer.xml" Id="Re04ea75a2e954794" /></Relationships>
</file>