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387dd2259475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SENATE BILL 5145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27,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SENATE BILL 5145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5145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Health Care (originally sponsored by Senators Dammeier, Frockt, Becker, Bailey, Rivers, and Brown)</w:t>
      </w:r>
    </w:p>
    <w:p/>
    <w:p>
      <w:r>
        <w:rPr>
          <w:t xml:space="preserve">READ FIRST TIME 02/10/15.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health technology clinical committee membership and rotating experts; and amending RCW 70.14.090.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14</w:t>
      </w:r>
      <w:r>
        <w:rPr/>
        <w:t xml:space="preserve">.</w:t>
      </w:r>
      <w:r>
        <w:t xml:space="preserve">090</w:t>
      </w:r>
      <w:r>
        <w:rPr/>
        <w:t xml:space="preserve"> and 2006 c 307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technology clinical committee is established, to include the following eleven members appointed by the administrator in consultation with participating state agencies: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Six practicing physicians licensed under chapter 18.57 or 18.71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Five other practicing licensed health professionals who use health technology in their scope of practice.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</w:t>
      </w:r>
      <w:r>
        <w:rPr/>
        <w:t xml:space="preserve"> At least two members of the committee must have professional experience treating women, children, elderly persons, and people with diverse ethnic and racial backgrounds.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At least one member of the committee must be appointed from nominations submitted by the Washington state medical association or the Washington state osteopathic medical association.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In addition, any rotating clinical expert selected to advise the committee on health technology must be a nonvoting member of the committee.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Members of the committee: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Shall not contract with or be employed by a health technology manufacturer or a participating agency during their term or for eighteen months before their appointment. As a condition of appointment, each person shall agree to the terms and conditions imposed by the administrator regarding conflicts of interest;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Are immune from civil liability for any official acts performed in good faith as members of the committee;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Shall be compensated for participation in the work of the committee in accordance with a personal services contract to be executed after appointment and before commencement of activities related to the work of the committee.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Meetings of the committee and any advisory group are subject to chapter 42.30 RCW, the open public meetings act, including RCW 42.30.110(1)(l), which authorizes an executive session during a regular or special meeting to consider proprietary or confidential nonpublished information.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 Neither the committee nor any advisory group is an agency for purposes of chapter 34.05 RCW.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(6)</w:t>
      </w:r>
      <w:r>
        <w:rPr/>
        <w:t xml:space="preserve"> The health care authority shall provide administrative support to the committee and any advisory group, and may adopt rules governing their operation.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6ba93bd34cc41a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5145.PL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317e5b4434364" /><Relationship Type="http://schemas.openxmlformats.org/officeDocument/2006/relationships/footer" Target="/word/footer.xml" Id="R66ba93bd34cc41a1" /></Relationships>
</file>