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2af9b042447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5550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5550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5550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Transportation (originally sponsored by Senators Habib and Fain)</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providers of commercial transportation services; amending RCW 51.12.020, 51.12.185, 48.22.030, 48.22.085, and 48.22.095; adding a new section to chapter 46.72 RCW; adding a new section to chapter 46.29 RCW; adding a new chapter to Title 48 RCW; and repealing RCW 46.72.073, 46.72A.053, 51.12.180, 51.12.183, 51.16.240, and 81.72.230.</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"Personal vehicle" means a vehicle that is used by a commercial transportation services provider driver in connection with providing services for a commercial transportation services provider and that is authorized by the commercial transportation services provider.</w:t>
      </w:r>
    </w:p>
    <w:p>
      <w:pPr>
        <w:ind w:left="0" w:right="0" w:firstLine="360"/>
        <w:jc w:val="both"/>
      </w:pPr>
      <w:r>
        <w:rPr/>
        <w:t xml:space="preserve">(2)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ind w:left="0" w:right="0" w:firstLine="360"/>
        <w:jc w:val="both"/>
      </w:pPr>
      <w:r>
        <w:rPr/>
        <w:t xml:space="preserve">(3) "Commercial transportation services provider" means a corporation, partnership, sole proprietorship, or other entity, operating in Washington, that uses a digital network or software application to connect passengers to drivers for the purpose of providing a prearranged ride. However, a commercial transportation services provider is not a taxicab company under chapter 81.72 RCW, a charter party or excursion service carrier under chapter 81.70 RCW, an auto transportation company under chapter 81.68 RCW, a private, nonprofit transportation provider under chapter 81.66 RCW, or a limousine carrier under chapter 46.72A RCW. A commercial transportation services provider is not deemed to own, control, operate, or manage the personal vehicles used by commercial transportation services providers. A commercial transportation services provider does not include a political subdivision or other entity exempt from federal income tax under 26 U.S.C. Sec. 115 of the federal internal revenue code.</w:t>
      </w:r>
    </w:p>
    <w:p>
      <w:pPr>
        <w:ind w:left="0" w:right="0" w:firstLine="360"/>
        <w:jc w:val="both"/>
      </w:pPr>
      <w:r>
        <w:rPr/>
        <w:t xml:space="preserve">(4) "Commercial transportation services provider driver" or "driver" means an individual who uses a personal vehicle to provide services for passengers matched through a commercial transportation services provider's digital network or software application.</w:t>
      </w:r>
    </w:p>
    <w:p>
      <w:pPr>
        <w:ind w:left="0" w:right="0" w:firstLine="360"/>
        <w:jc w:val="both"/>
      </w:pPr>
      <w:r>
        <w:rPr/>
        <w:t xml:space="preserve">(5) "Commercial transportation services provider passenger" or "passenger" means a passenger in a personal vehicle for whom transport is provided, including:</w:t>
      </w:r>
    </w:p>
    <w:p>
      <w:pPr>
        <w:ind w:left="0" w:right="0" w:firstLine="360"/>
        <w:jc w:val="both"/>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ind w:left="0" w:right="0" w:firstLine="360"/>
        <w:jc w:val="both"/>
      </w:pPr>
      <w:r>
        <w:rPr/>
        <w:t xml:space="preserve">(b) Anyone for whom another individual uses a commercial transportation services provider's digital network or software application to connect with a driver to obtain services in the driver's vehicle.</w:t>
      </w:r>
    </w:p>
    <w:p>
      <w:pPr>
        <w:ind w:left="0" w:right="0" w:firstLine="360"/>
        <w:jc w:val="both"/>
      </w:pPr>
      <w:r>
        <w:rPr/>
        <w:t xml:space="preserve">(6) "Commercial transportation services" or "services" means all times the driver is logged in to a commercial transportation services provider's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commercial transportation services, every personal vehicle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 must secure this policy for every personal vehicle used to provide commercial transportation services. For purposes of this section, a "primary automobile insurance policy" is not a private passenger automobile insurance policy.</w:t>
      </w:r>
    </w:p>
    <w:p>
      <w:pPr>
        <w:ind w:left="0" w:right="0" w:firstLine="360"/>
        <w:jc w:val="both"/>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ind w:left="0" w:right="0" w:firstLine="360"/>
        <w:jc w:val="both"/>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ind w:left="0" w:right="0" w:firstLine="360"/>
        <w:jc w:val="both"/>
      </w:pPr>
      <w:r>
        <w:rPr/>
        <w:t xml:space="preserve">(A) Liability coverage in an amount no less than fifty thousand dollars per person for bodily injury, one hundred thousand dollars per accident for bodily injury of all persons, and thirty thousand dollars for damage to property;</w:t>
      </w:r>
    </w:p>
    <w:p>
      <w:pPr>
        <w:ind w:left="0" w:right="0" w:firstLine="360"/>
        <w:jc w:val="both"/>
      </w:pPr>
      <w:r>
        <w:rPr/>
        <w:t xml:space="preserve">(B) Underinsured motorist coverage to the extent required under RCW 48.22.030; and</w:t>
      </w:r>
    </w:p>
    <w:p>
      <w:pPr>
        <w:ind w:left="0" w:right="0" w:firstLine="360"/>
        <w:jc w:val="both"/>
      </w:pPr>
      <w:r>
        <w:rPr/>
        <w:t xml:space="preserve">(C) Personal injury protection coverage to the extent required under RCW 48.22.085 and 48.22.095.</w:t>
      </w:r>
    </w:p>
    <w:p>
      <w:pPr>
        <w:ind w:left="0" w:right="0" w:firstLine="360"/>
        <w:jc w:val="both"/>
      </w:pPr>
      <w:r>
        <w:rPr/>
        <w:t xml:space="preserve">(ii) The primary automobile insurance policy required under this subsection must provide the following coverage, applicable during the period of a prearranged ride:</w:t>
      </w:r>
    </w:p>
    <w:p>
      <w:pPr>
        <w:ind w:left="0" w:right="0" w:firstLine="360"/>
        <w:jc w:val="both"/>
      </w:pPr>
      <w:r>
        <w:rPr/>
        <w:t xml:space="preserve">(A) Combined single limit liability coverage in the amount of one million dollars for death, personal injury, and property damage;</w:t>
      </w:r>
    </w:p>
    <w:p>
      <w:pPr>
        <w:ind w:left="0" w:right="0" w:firstLine="360"/>
        <w:jc w:val="both"/>
      </w:pPr>
      <w:r>
        <w:rPr/>
        <w:t xml:space="preserve">(B) Underinsured motorist coverage in the amount of one million dollars; and</w:t>
      </w:r>
    </w:p>
    <w:p>
      <w:pPr>
        <w:ind w:left="0" w:right="0" w:firstLine="360"/>
        <w:jc w:val="both"/>
      </w:pPr>
      <w:r>
        <w:rPr/>
        <w:t xml:space="preserve">(C) Personal injury protection coverage to the extent required under RCW 48.22.085 and 48.22.095.</w:t>
      </w:r>
    </w:p>
    <w:p>
      <w:pPr>
        <w:ind w:left="0" w:right="0" w:firstLine="360"/>
        <w:jc w:val="both"/>
      </w:pPr>
      <w:r>
        <w:rPr/>
        <w:t xml:space="preserve">(2)(a) As an alternative to the provisions of subsection (1) of this section, if the office of the insurance commissioner approves the offering of an insurance policy that recognizes that a person is acting as a driver for a commercial transportation services provider and using a personal vehicle to provide commercial transportation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ind w:left="0" w:right="0" w:firstLine="360"/>
        <w:jc w:val="both"/>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ind w:left="0" w:right="0" w:firstLine="360"/>
        <w:jc w:val="both"/>
      </w:pPr>
      <w:r>
        <w:rPr/>
        <w:t xml:space="preserve">(c) The primary automobile insurance policy required under this subsection and subsection (1) of this section may be secured by any of the following:</w:t>
      </w:r>
    </w:p>
    <w:p>
      <w:pPr>
        <w:ind w:left="0" w:right="0" w:firstLine="360"/>
        <w:jc w:val="both"/>
      </w:pPr>
      <w:r>
        <w:rPr/>
        <w:t xml:space="preserve">(i) The commercial transportation services provider as provided under subsection (1) of this section;</w:t>
      </w:r>
    </w:p>
    <w:p>
      <w:pPr>
        <w:ind w:left="0" w:right="0" w:firstLine="360"/>
        <w:jc w:val="both"/>
      </w:pPr>
      <w:r>
        <w:rPr/>
        <w:t xml:space="preserve">(ii) The driver as provided under (a) of this subsection; or</w:t>
      </w:r>
    </w:p>
    <w:p>
      <w:pPr>
        <w:ind w:left="0" w:right="0" w:firstLine="360"/>
        <w:jc w:val="both"/>
      </w:pPr>
      <w:r>
        <w:rPr/>
        <w:t xml:space="preserve">(iii) A combination of both the commercial transportation services provider and the driver.</w:t>
      </w:r>
    </w:p>
    <w:p>
      <w:pPr>
        <w:ind w:left="0" w:right="0" w:firstLine="360"/>
        <w:jc w:val="both"/>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ind w:left="0" w:right="0" w:firstLine="360"/>
        <w:jc w:val="both"/>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ind w:left="0" w:right="0" w:firstLine="360"/>
        <w:jc w:val="both"/>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ind w:left="0" w:right="0" w:firstLine="360"/>
        <w:jc w:val="both"/>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ind w:left="0" w:right="0" w:firstLine="360"/>
        <w:jc w:val="both"/>
      </w:pPr>
      <w:r>
        <w:rPr/>
        <w:t xml:space="preserve">(a) Liability coverage for bodily injury and property damage;</w:t>
      </w:r>
    </w:p>
    <w:p>
      <w:pPr>
        <w:ind w:left="0" w:right="0" w:firstLine="360"/>
        <w:jc w:val="both"/>
      </w:pPr>
      <w:r>
        <w:rPr/>
        <w:t xml:space="preserve">(b) Personal injury protection coverage;</w:t>
      </w:r>
    </w:p>
    <w:p>
      <w:pPr>
        <w:ind w:left="0" w:right="0" w:firstLine="360"/>
        <w:jc w:val="both"/>
      </w:pPr>
      <w:r>
        <w:rPr/>
        <w:t xml:space="preserve">(c) Underinsured motorist coverage;</w:t>
      </w:r>
    </w:p>
    <w:p>
      <w:pPr>
        <w:ind w:left="0" w:right="0" w:firstLine="360"/>
        <w:jc w:val="both"/>
      </w:pPr>
      <w:r>
        <w:rPr/>
        <w:t xml:space="preserve">(d) Medical payments coverage;</w:t>
      </w:r>
    </w:p>
    <w:p>
      <w:pPr>
        <w:ind w:left="0" w:right="0" w:firstLine="360"/>
        <w:jc w:val="both"/>
      </w:pPr>
      <w:r>
        <w:rPr/>
        <w:t xml:space="preserve">(e) Comprehensive physical damage coverage; and</w:t>
      </w:r>
    </w:p>
    <w:p>
      <w:pPr>
        <w:ind w:left="0" w:right="0" w:firstLine="360"/>
        <w:jc w:val="both"/>
      </w:pPr>
      <w:r>
        <w:rPr/>
        <w:t xml:space="preserve">(f) Collision physical damage coverage.</w:t>
      </w:r>
    </w:p>
    <w:p>
      <w:pPr>
        <w:ind w:left="0" w:right="0" w:firstLine="360"/>
        <w:jc w:val="both"/>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ind w:left="0" w:right="0" w:firstLine="360"/>
        <w:jc w:val="both"/>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the effective date of this section that excludes coverage for vehicles used to carry persons or property for a charge or available for hire by the public.</w:t>
      </w:r>
    </w:p>
    <w:p>
      <w:pPr>
        <w:ind w:left="0" w:right="0" w:firstLine="360"/>
        <w:jc w:val="both"/>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ind w:left="0" w:right="0" w:firstLine="360"/>
        <w:jc w:val="both"/>
      </w:pPr>
      <w:r>
        <w:rPr/>
        <w:t xml:space="preserve">(10) If more than one insurance policy provides valid and collectible coverage for a loss arising out of an occurrence involving a motor vehicle operated by a driver, the responsibility for the claim must be divided as follows:</w:t>
      </w:r>
    </w:p>
    <w:p>
      <w:pPr>
        <w:ind w:left="0" w:right="0" w:firstLine="360"/>
        <w:jc w:val="both"/>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ind w:left="0" w:right="0" w:firstLine="360"/>
        <w:jc w:val="both"/>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ind w:left="0" w:right="0" w:firstLine="360"/>
        <w:jc w:val="both"/>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ind w:left="0" w:right="0" w:firstLine="360"/>
        <w:jc w:val="both"/>
      </w:pPr>
      <w:r>
        <w:rPr/>
        <w:t xml:space="preserve">(12) This section does not modify or abrogate any otherwise applicable insurance requirement set forth in this title.</w:t>
      </w:r>
    </w:p>
    <w:p>
      <w:pPr>
        <w:ind w:left="0" w:right="0" w:firstLine="360"/>
        <w:jc w:val="both"/>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ind w:left="0" w:right="0" w:firstLine="360"/>
        <w:jc w:val="both"/>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ind w:left="0" w:right="0" w:firstLine="360"/>
        <w:jc w:val="both"/>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ind w:left="0" w:right="0" w:firstLine="360"/>
        <w:jc w:val="both"/>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ind w:left="0" w:right="0" w:firstLine="360"/>
        <w:jc w:val="both"/>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ind w:left="0" w:right="0" w:firstLine="360"/>
        <w:jc w:val="both"/>
      </w:pPr>
      <w:r>
        <w:rPr/>
        <w:t xml:space="preserve">(b) The prospective driver must acknowledge the terms of service electronically or by signature.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72</w:t>
      </w:r>
      <w:r>
        <w:rPr/>
        <w:t xml:space="preserve"> RCW</w:t>
      </w:r>
      <w:r>
        <w:rPr/>
        <w:t xml:space="preserve"> to read as follows:</w:t>
      </w:r>
    </w:p>
    <w:p>
      <w:pPr>
        <w:ind w:left="0" w:right="0" w:firstLine="360"/>
        <w:jc w:val="both"/>
      </w:pPr>
      <w:r>
        <w:rPr/>
        <w:t xml:space="preserve">RCW 46.72.040 and 46.72.050 do not apply to personal vehicles under chapter 48.--- RCW (the new chapter created in section 11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ind w:left="0" w:right="0" w:firstLine="360"/>
        <w:jc w:val="both"/>
      </w:pPr>
      <w:r>
        <w:rPr/>
        <w:t xml:space="preserve">The following are the only employments which shall not be included within the mandatory coverage of this title:</w:t>
      </w:r>
    </w:p>
    <w:p>
      <w:pPr>
        <w:ind w:left="0" w:right="0" w:firstLine="360"/>
        <w:jc w:val="both"/>
      </w:pPr>
      <w:r>
        <w:rPr/>
        <w:t xml:space="preserve">(1) Any person employed as a domestic servant in a private home by an employer who has less than two employees regularly employed forty or more hours a week in such employment.</w:t>
      </w:r>
    </w:p>
    <w:p>
      <w:pPr>
        <w:ind w:left="0" w:right="0" w:firstLine="360"/>
        <w:jc w:val="both"/>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ind w:left="0" w:right="0" w:firstLine="360"/>
        <w:jc w:val="both"/>
      </w:pPr>
      <w:r>
        <w:rPr/>
        <w:t xml:space="preserve">(3) A person whose employment is not in the course of the trade, business, or profession of his or her employer and is not in or about the private home of the employer.</w:t>
      </w:r>
    </w:p>
    <w:p>
      <w:pPr>
        <w:ind w:left="0" w:right="0" w:firstLine="360"/>
        <w:jc w:val="both"/>
      </w:pPr>
      <w:r>
        <w:rPr/>
        <w:t xml:space="preserve">(4) Any person performing services in return for aid or sustenance only, received from any religious or charitable organization.</w:t>
      </w:r>
    </w:p>
    <w:p>
      <w:pPr>
        <w:ind w:left="0" w:right="0" w:firstLine="360"/>
        <w:jc w:val="both"/>
      </w:pPr>
      <w:r>
        <w:rPr/>
        <w:t xml:space="preserve">(5) Sole proprietors or partners.</w:t>
      </w:r>
    </w:p>
    <w:p>
      <w:pPr>
        <w:ind w:left="0" w:right="0" w:firstLine="360"/>
        <w:jc w:val="both"/>
      </w:pPr>
      <w:r>
        <w:rPr/>
        <w:t xml:space="preserve">(6) Any child under eighteen years of age employed by his or her parent or parents in agricultural activities on the family farm.</w:t>
      </w:r>
    </w:p>
    <w:p>
      <w:pPr>
        <w:ind w:left="0" w:right="0" w:firstLine="360"/>
        <w:jc w:val="both"/>
      </w:pPr>
      <w:r>
        <w:rPr/>
        <w:t xml:space="preserve">(7) Jockeys while participating in or preparing horses for race meets licensed by the Washington horse racing commission pursuant to chapter 67.16 RCW.</w:t>
      </w:r>
    </w:p>
    <w:p>
      <w:pPr>
        <w:ind w:left="0" w:right="0" w:firstLine="360"/>
        <w:jc w:val="both"/>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ind w:left="0" w:right="0" w:firstLine="360"/>
        <w:jc w:val="both"/>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ind w:left="0" w:right="0" w:firstLine="360"/>
        <w:jc w:val="both"/>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ind w:left="0" w:right="0" w:firstLine="360"/>
        <w:jc w:val="both"/>
      </w:pPr>
      <w:r>
        <w:rPr/>
        <w:t xml:space="preserve">(d) A corporation may elect to cover officers who are exempted by this subsection in the manner provided by RCW 51.12.110.</w:t>
      </w:r>
    </w:p>
    <w:p>
      <w:pPr>
        <w:ind w:left="0" w:right="0" w:firstLine="360"/>
        <w:jc w:val="both"/>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ind w:left="0" w:right="0" w:firstLine="360"/>
        <w:jc w:val="both"/>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ind w:left="0" w:right="0" w:firstLine="360"/>
        <w:jc w:val="both"/>
      </w:pPr>
      <w:r>
        <w:rPr/>
        <w:t xml:space="preserve">(11) Services performed by an insurance producer, as defined in RCW 48.17.010, or a surplus line broker licensed under chapter 48.15 RCW.</w:t>
      </w:r>
    </w:p>
    <w:p>
      <w:pPr>
        <w:ind w:left="0" w:right="0" w:firstLine="360"/>
        <w:jc w:val="both"/>
      </w:pPr>
      <w:r>
        <w:rPr/>
        <w:t xml:space="preserve">(12) Services performed by a booth renter. However, a person exempted under this subsection may elect coverage under RCW 51.32.030.</w:t>
      </w:r>
    </w:p>
    <w:p>
      <w:pPr>
        <w:ind w:left="0" w:right="0" w:firstLine="360"/>
        <w:jc w:val="both"/>
      </w:pPr>
      <w:r>
        <w:rPr/>
        <w:t xml:space="preserve">(13) Members of a limited liability company, if either:</w:t>
      </w:r>
    </w:p>
    <w:p>
      <w:pPr>
        <w:ind w:left="0" w:right="0" w:firstLine="360"/>
        <w:jc w:val="both"/>
      </w:pPr>
      <w:r>
        <w:rPr/>
        <w:t xml:space="preserve">(a) Management of the company is vested in its members, and the members for whom exemption is sought would qualify for exemption under subsection (5) of this section were the company a sole proprietorship or partnership; or</w:t>
      </w:r>
    </w:p>
    <w:p>
      <w:pPr>
        <w:ind w:left="0" w:right="0" w:firstLine="360"/>
        <w:jc w:val="both"/>
      </w:pPr>
      <w:r>
        <w:rPr/>
        <w:t xml:space="preserve">(b) Management of the company is vested in one or more managers, and the members for whom the exemption is sought are managers who would qualify for exemption under subsection (8) of this section were the company a corporation.</w:t>
      </w:r>
    </w:p>
    <w:p>
      <w:pPr>
        <w:ind w:left="0" w:right="0" w:firstLine="360"/>
        <w:jc w:val="both"/>
      </w:pPr>
      <w:r>
        <w:rPr>
          <w:u w:val="single"/>
        </w:rPr>
        <w:t xml:space="preserve">(14) A driver providing commercial transportation services as defined in section 1 of this act. The driver may elect coverage in the manner provided by RCW 51.32.030.</w:t>
      </w:r>
    </w:p>
    <w:p>
      <w:pPr>
        <w:ind w:left="0" w:right="0" w:firstLine="360"/>
        <w:jc w:val="both"/>
      </w:pPr>
      <w:r>
        <w:rPr>
          <w:u w:val="singl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185</w:t>
      </w:r>
      <w:r>
        <w:rPr/>
        <w:t xml:space="preserve"> and 2011 c 190 s 4 are each amended to read as follows:</w:t>
      </w:r>
    </w:p>
    <w:p>
      <w:pPr>
        <w:ind w:left="0" w:right="0" w:firstLine="360"/>
        <w:jc w:val="both"/>
      </w:pPr>
      <w:r>
        <w:rPr/>
        <w:t xml:space="preserve">(1) ((</w:t>
      </w:r>
      <w:r>
        <w:rPr>
          <w:strike/>
        </w:rPr>
        <w:t xml:space="preserve">In order to assist the department with controlling costs related to the self-monitoring of industrial insurance claims by independent owner-operated for hire vehicle, limousine, and taxicab businesses,</w:t>
      </w:r>
      <w:r>
        <w:rPr/>
        <w:t xml:space="preserve">)) </w:t>
      </w:r>
      <w:r>
        <w:rPr>
          <w:u w:val="single"/>
        </w:rPr>
        <w:t xml:space="preserve">T</w:t>
      </w:r>
      <w:r>
        <w:rPr/>
        <w:t xml:space="preserve">he department may appoint a panel of individuals with for hire vehicle, limousine, or taxicab transportation industry experience and expertise to advise the department.</w:t>
      </w:r>
    </w:p>
    <w:p>
      <w:pPr>
        <w:ind w:left="0" w:right="0" w:firstLine="360"/>
        <w:jc w:val="both"/>
      </w:pPr>
      <w:r>
        <w:rPr/>
        <w:t xml:space="preserve">(2) The owner </w:t>
      </w:r>
      <w:r>
        <w:rPr>
          <w:u w:val="single"/>
        </w:rPr>
        <w:t xml:space="preserve">or lessee</w:t>
      </w:r>
      <w:r>
        <w:rPr/>
        <w:t xml:space="preserve"> of any for hire, limousine, or taxicab vehicle ((</w:t>
      </w:r>
      <w:r>
        <w:rPr>
          <w:strike/>
        </w:rPr>
        <w:t xml:space="preserve">subject to mandatory industrial insurance pursuant to RCW 51.12.183</w:t>
      </w:r>
      <w:r>
        <w:rPr/>
        <w:t xml:space="preserve">)) is eligible for inclusion in a retrospective rating program authorized and established pursuant to chapter 51.18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29</w:t>
      </w:r>
      <w:r>
        <w:rPr/>
        <w:t xml:space="preserve"> RCW</w:t>
      </w:r>
      <w:r>
        <w:rPr/>
        <w:t xml:space="preserve"> to read as follows:</w:t>
      </w:r>
    </w:p>
    <w:p>
      <w:pPr>
        <w:ind w:left="0" w:right="0" w:firstLine="360"/>
        <w:jc w:val="both"/>
      </w:pPr>
      <w:r>
        <w:rPr/>
        <w:t xml:space="preserve">This chapter does not apply to the coverage exclusions under section 2(6)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030</w:t>
      </w:r>
      <w:r>
        <w:rPr/>
        <w:t xml:space="preserve"> and 2009 c 549 s 7106 are each amended to read as follows:</w:t>
      </w:r>
    </w:p>
    <w:p>
      <w:pPr>
        <w:ind w:left="0" w:right="0" w:firstLine="360"/>
        <w:jc w:val="both"/>
      </w:pPr>
      <w:r>
        <w:rPr/>
        <w:t xml:space="preserve">(1) "Underinsured motor vehicle" means a motor vehicle with respect to the ownership, maintenance, or use of which either no bodily injury or property damage liability bond or insurance policy applies at the time of an accident, or with respect to which the sum of the limits of liability under all bodily injury or property damage liability bonds and insurance policies applicable to a covered person after an accident is less than the applicable damages which the covered person is legally entitled to recover.</w:t>
      </w:r>
    </w:p>
    <w:p>
      <w:pPr>
        <w:ind w:left="0" w:right="0" w:firstLine="360"/>
        <w:jc w:val="both"/>
      </w:pPr>
      <w:r>
        <w:rPr/>
        <w:t xml:space="preserve">(2) No new policy or renewal of an existing policy insuring against loss resulting from liability imposed by law for bodily injury, death, or property damage, suffered by any person arising out of the ownership, maintenance, or use of a motor vehicle shall be issued with respect to any motor vehicle registered or principally garaged in this state unless coverage is provided therein or supplemental thereto for the protection of persons insured thereunder who are legally entitled to recover damages from owners or operators of underinsured motor vehicles, hit-and-run motor vehicles, and phantom vehicles because of bodily injury, death, or property damage, resulting therefrom, except while operating or occupying a motorcycle or motor-driven cycle, and except while operating or occupying a motor vehicle owned or available for the regular use by the named insured or any family member, and which is not insured under the liability coverage of the policy. The coverage required to be offered under this chapter is not applicable to general liability policies, commonly known as umbrella policies, or other policies which apply only as excess to the insurance directly applicable to the vehicle insured.</w:t>
      </w:r>
    </w:p>
    <w:p>
      <w:pPr>
        <w:ind w:left="0" w:right="0" w:firstLine="360"/>
        <w:jc w:val="both"/>
      </w:pPr>
      <w:r>
        <w:rPr/>
        <w:t xml:space="preserve">(3) Except as to property damage, coverage required under subsection (2) of this section shall be in the same amount as the insured's third party liability coverage unless the insured rejects all or part of the coverage as provided in subsection (4) of this section. Coverage for property damage need only be issued in conjunction with coverage for bodily injury or death. Property damage coverage required under subsection (2) of this section shall mean physical damage to the insured motor vehicle unless the policy specifically provides coverage for the contents thereof or other forms of property damage.</w:t>
      </w:r>
    </w:p>
    <w:p>
      <w:pPr>
        <w:ind w:left="0" w:right="0" w:firstLine="360"/>
        <w:jc w:val="both"/>
      </w:pPr>
      <w:r>
        <w:rPr/>
        <w:t xml:space="preserve">(4) A named insured or spouse may reject, in writing, underinsured coverage for bodily injury or death, or property damage, and the requirements of subsections (2) and (3) of this section shall not apply. If a named insured or spouse has rejected underinsured coverage, such coverage shall not be included in any supplemental or renewal policy unless a named insured or spouse subsequently requests such coverage in writing. The requirement of a written rejection under this subsection shall apply only to the original issuance of policies issued after July 24, 1983, and not to any renewal or replacement policy. When a named insured or spouse chooses a property damage coverage that is less than the insured's third party liability coverage for property damage, a written rejection is not required.</w:t>
      </w:r>
    </w:p>
    <w:p>
      <w:pPr>
        <w:ind w:left="0" w:right="0" w:firstLine="360"/>
        <w:jc w:val="both"/>
      </w:pPr>
      <w:r>
        <w:rPr/>
        <w:t xml:space="preserve">(5) The limit of liability under the policy coverage may be defined as the maximum limits of liability for all damages resulting from any one accident regardless of the number of covered persons, claims made, or vehicles or premiums shown on the policy, or premiums paid, or vehicles involved in an accident.</w:t>
      </w:r>
    </w:p>
    <w:p>
      <w:pPr>
        <w:ind w:left="0" w:right="0" w:firstLine="360"/>
        <w:jc w:val="both"/>
      </w:pPr>
      <w:r>
        <w:rPr/>
        <w:t xml:space="preserve">(6) The policy may provide that if an injured person has other similar insurance available to him or her under other policies, the total limits of liability of all coverages shall not exceed the higher of the applicable limits of the respective coverages.</w:t>
      </w:r>
    </w:p>
    <w:p>
      <w:pPr>
        <w:ind w:left="0" w:right="0" w:firstLine="360"/>
        <w:jc w:val="both"/>
      </w:pPr>
      <w:r>
        <w:rPr/>
        <w:t xml:space="preserve">(7)(a) The policy may provide for a deductible of not more than three hundred dollars for payment for property damage when the damage is caused by a hit-and-run driver or a phantom vehicle.</w:t>
      </w:r>
    </w:p>
    <w:p>
      <w:pPr>
        <w:ind w:left="0" w:right="0" w:firstLine="360"/>
        <w:jc w:val="both"/>
      </w:pPr>
      <w:r>
        <w:rPr/>
        <w:t xml:space="preserve">(b) In all other cases of underinsured property damage coverage, the policy may provide for a deductible of not more than one hundred dollars.</w:t>
      </w:r>
    </w:p>
    <w:p>
      <w:pPr>
        <w:ind w:left="0" w:right="0" w:firstLine="360"/>
        <w:jc w:val="both"/>
      </w:pPr>
      <w:r>
        <w:rPr/>
        <w:t xml:space="preserve">(8) For the purposes of this chapter, a "phantom vehicle" shall mean a motor vehicle which causes bodily injury, death, or property damage to an insured and has no physical contact with the insured or the vehicle which the insured is occupying at the time of the accident if:</w:t>
      </w:r>
    </w:p>
    <w:p>
      <w:pPr>
        <w:ind w:left="0" w:right="0" w:firstLine="360"/>
        <w:jc w:val="both"/>
      </w:pPr>
      <w:r>
        <w:rPr/>
        <w:t xml:space="preserve">(a) The facts of the accident can be corroborated by competent evidence other than the testimony of the insured or any person having an underinsured motorist claim resulting from the accident; and</w:t>
      </w:r>
    </w:p>
    <w:p>
      <w:pPr>
        <w:ind w:left="0" w:right="0" w:firstLine="360"/>
        <w:jc w:val="both"/>
      </w:pPr>
      <w:r>
        <w:rPr/>
        <w:t xml:space="preserve">(b) The accident has been reported to the appropriate law enforcement agency within seventy-two hours of the accident.</w:t>
      </w:r>
    </w:p>
    <w:p>
      <w:pPr>
        <w:ind w:left="0" w:right="0" w:firstLine="360"/>
        <w:jc w:val="both"/>
      </w:pPr>
      <w:r>
        <w:rPr/>
        <w:t xml:space="preserve">(9) An insurer who elects to write motorcycle or motor-driven cycle insurance in this state must provide information to prospective insureds about the coverage.</w:t>
      </w:r>
    </w:p>
    <w:p>
      <w:pPr>
        <w:ind w:left="0" w:right="0" w:firstLine="360"/>
        <w:jc w:val="both"/>
      </w:pPr>
      <w:r>
        <w:rPr/>
        <w:t xml:space="preserve">(10) An insurer who elects to write motorcycle or motor-driven cycle insurance in this state must provide an opportunity for named insureds, who have purchased liability coverage for a motorcycle or motor-driven cycle, to reject underinsured coverage for that motorcycle or motor-driven cycle in writing.</w:t>
      </w:r>
    </w:p>
    <w:p>
      <w:pPr>
        <w:ind w:left="0" w:right="0" w:firstLine="360"/>
        <w:jc w:val="both"/>
      </w:pPr>
      <w:r>
        <w:rPr/>
        <w:t xml:space="preserve">(11) If the covered person seeking underinsured motorist coverage under this section was the intended victim of the tort feasor, the incident must be reported to the appropriate law enforcement agency and the covered person must cooperate with any related law enforcement investigation.</w:t>
      </w:r>
    </w:p>
    <w:p>
      <w:pPr>
        <w:ind w:left="0" w:right="0" w:firstLine="360"/>
        <w:jc w:val="both"/>
      </w:pPr>
      <w:r>
        <w:rPr/>
        <w:t xml:space="preserve">(12) The purpose of this section is to protect innocent victims of motorists of underinsured motor vehicles. Covered persons are entitled to coverage without regard to whether an incident was intentionally caused. However, a person is not entitled to coverage if the insurer can demonstrate that the covered person intended to cause the event for which a claim is made under the coverage described in this section. As used in this section, and in the section of policies providing the underinsured motorist coverage described in this section, "accident" means an occurrence that is unexpected and unintended from the standpoint of the covered person.</w:t>
      </w:r>
    </w:p>
    <w:p>
      <w:pPr>
        <w:ind w:left="0" w:right="0" w:firstLine="360"/>
        <w:jc w:val="both"/>
      </w:pPr>
      <w:r>
        <w:rPr/>
        <w:t xml:space="preserve">(13) </w:t>
      </w:r>
      <w:r>
        <w:rPr>
          <w:u w:val="single"/>
        </w:rPr>
        <w:t xml:space="preserve">The coverage under this section may be excluded as provided for under section 2(6) of this act.</w:t>
      </w:r>
    </w:p>
    <w:p>
      <w:pPr>
        <w:ind w:left="0" w:right="0" w:firstLine="360"/>
        <w:jc w:val="both"/>
      </w:pPr>
      <w:r>
        <w:rPr>
          <w:u w:val="single"/>
        </w:rPr>
        <w:t xml:space="preserve">(14)</w:t>
      </w:r>
      <w:r>
        <w:rPr/>
        <w:t xml:space="preserve"> "Underinsured coverage," for the purposes of this section, means coverage for "underinsured motor vehicles," as defined in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085</w:t>
      </w:r>
      <w:r>
        <w:rPr/>
        <w:t xml:space="preserve"> and 2003 c 115 s 2 are each amended to read as follows:</w:t>
      </w:r>
    </w:p>
    <w:p>
      <w:pPr>
        <w:ind w:left="0" w:right="0" w:firstLine="360"/>
        <w:jc w:val="both"/>
      </w:pPr>
      <w:r>
        <w:rPr/>
        <w:t xml:space="preserve">(1) No new automobile liability insurance policy or renewal of such an existing policy may be issued unless personal injury protection coverage is offered as an optional coverage.</w:t>
      </w:r>
    </w:p>
    <w:p>
      <w:pPr>
        <w:ind w:left="0" w:right="0" w:firstLine="360"/>
        <w:jc w:val="both"/>
      </w:pPr>
      <w:r>
        <w:rPr/>
        <w:t xml:space="preserve">(2) A named insured may reject, in writing, personal injury protection coverage and the requirements of subsection (1) of this section shall not apply. If a named insured rejects personal injury protection coverage:</w:t>
      </w:r>
    </w:p>
    <w:p>
      <w:pPr>
        <w:ind w:left="0" w:right="0" w:firstLine="360"/>
        <w:jc w:val="both"/>
      </w:pPr>
      <w:r>
        <w:rPr/>
        <w:t xml:space="preserve">(a) That rejection is valid and binding as to all levels of coverage and on all persons who might have otherwise been insured under such coverage; and</w:t>
      </w:r>
    </w:p>
    <w:p>
      <w:pPr>
        <w:ind w:left="0" w:right="0" w:firstLine="360"/>
        <w:jc w:val="both"/>
      </w:pPr>
      <w:r>
        <w:rPr/>
        <w:t xml:space="preserve">(b) The insurer is not required to include personal injury protection coverage in any supplemental, renewal, or replacement policy unless a named insured subsequently requests such coverage in writing.</w:t>
      </w:r>
    </w:p>
    <w:p>
      <w:pPr>
        <w:ind w:left="0" w:right="0" w:firstLine="360"/>
        <w:jc w:val="both"/>
      </w:pPr>
      <w:r>
        <w:rPr>
          <w:u w:val="single"/>
        </w:rPr>
        <w:t xml:space="preserve">(3) The coverage under this section may be excluded as provided for under section 2(6)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095</w:t>
      </w:r>
      <w:r>
        <w:rPr/>
        <w:t xml:space="preserve"> and 2003 c 115 s 4 are each amended to read as follows:</w:t>
      </w:r>
    </w:p>
    <w:p>
      <w:pPr>
        <w:ind w:left="0" w:right="0" w:firstLine="360"/>
        <w:jc w:val="both"/>
      </w:pPr>
      <w:r>
        <w:rPr>
          <w:u w:val="single"/>
        </w:rPr>
        <w:t xml:space="preserve">(1)</w:t>
      </w:r>
      <w:r>
        <w:rPr/>
        <w:t xml:space="preserve"> Insurers providing automobile insurance policies must offer minimum personal injury protection coverage for each insured with benefit limits as follows:</w:t>
      </w:r>
    </w:p>
    <w:p>
      <w:pPr>
        <w:ind w:left="0" w:right="0" w:firstLine="360"/>
        <w:jc w:val="both"/>
      </w:pPr>
      <w:r>
        <w:t>((</w:t>
      </w:r>
      <w:r>
        <w:rPr>
          <w:strike/>
        </w:rPr>
        <w:t xml:space="preserve">(1)</w:t>
      </w:r>
      <w:r>
        <w:t>))</w:t>
      </w:r>
      <w:r>
        <w:rPr/>
        <w:t xml:space="preserve"> </w:t>
      </w:r>
      <w:r>
        <w:rPr>
          <w:u w:val="single"/>
        </w:rPr>
        <w:t xml:space="preserve">(a)</w:t>
      </w:r>
      <w:r>
        <w:rPr/>
        <w:t xml:space="preserve"> Medical and hospital benefits of ten thousand dollars;</w:t>
      </w:r>
    </w:p>
    <w:p>
      <w:pPr>
        <w:ind w:left="0" w:right="0" w:firstLine="360"/>
        <w:jc w:val="both"/>
      </w:pPr>
      <w:r>
        <w:t>((</w:t>
      </w:r>
      <w:r>
        <w:rPr>
          <w:strike/>
        </w:rPr>
        <w:t xml:space="preserve">(2)</w:t>
      </w:r>
      <w:r>
        <w:t>))</w:t>
      </w:r>
      <w:r>
        <w:rPr/>
        <w:t xml:space="preserve"> </w:t>
      </w:r>
      <w:r>
        <w:rPr>
          <w:u w:val="single"/>
        </w:rPr>
        <w:t xml:space="preserve">(b)</w:t>
      </w:r>
      <w:r>
        <w:rPr/>
        <w:t xml:space="preserve"> A funeral expense benefit of two thousand dollars;</w:t>
      </w:r>
    </w:p>
    <w:p>
      <w:pPr>
        <w:ind w:left="0" w:right="0" w:firstLine="360"/>
        <w:jc w:val="both"/>
      </w:pPr>
      <w:r>
        <w:t>((</w:t>
      </w:r>
      <w:r>
        <w:rPr>
          <w:strike/>
        </w:rPr>
        <w:t xml:space="preserve">(3)</w:t>
      </w:r>
      <w:r>
        <w:t>))</w:t>
      </w:r>
      <w:r>
        <w:rPr/>
        <w:t xml:space="preserve"> </w:t>
      </w:r>
      <w:r>
        <w:rPr>
          <w:u w:val="single"/>
        </w:rPr>
        <w:t xml:space="preserve">(c)</w:t>
      </w:r>
      <w:r>
        <w:rPr/>
        <w:t xml:space="preserve"> Income continuation benefits of ten thousand dollars, subject to a limit of two hundred dollars per week; and</w:t>
      </w:r>
    </w:p>
    <w:p>
      <w:pPr>
        <w:ind w:left="0" w:right="0" w:firstLine="360"/>
        <w:jc w:val="both"/>
      </w:pPr>
      <w:r>
        <w:t>((</w:t>
      </w:r>
      <w:r>
        <w:rPr>
          <w:strike/>
        </w:rPr>
        <w:t xml:space="preserve">(4)</w:t>
      </w:r>
      <w:r>
        <w:t>))</w:t>
      </w:r>
      <w:r>
        <w:rPr/>
        <w:t xml:space="preserve"> </w:t>
      </w:r>
      <w:r>
        <w:rPr>
          <w:u w:val="single"/>
        </w:rPr>
        <w:t xml:space="preserve">(d)</w:t>
      </w:r>
      <w:r>
        <w:rPr/>
        <w:t xml:space="preserve"> Loss of services benefits of five thousand dollars, subject to a limit of two hundred dollars per week.</w:t>
      </w:r>
    </w:p>
    <w:p>
      <w:pPr>
        <w:ind w:left="0" w:right="0" w:firstLine="360"/>
        <w:jc w:val="both"/>
      </w:pPr>
      <w:r>
        <w:rPr>
          <w:u w:val="single"/>
        </w:rPr>
        <w:t xml:space="preserve">(2) The coverage under this section may be excluded as provided for under section 2(6)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ind w:left="0" w:right="0" w:firstLine="360"/>
        <w:jc w:val="both"/>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ind w:left="0" w:right="0" w:firstLine="360"/>
        <w:jc w:val="both"/>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ind w:left="0" w:right="0" w:firstLine="360"/>
        <w:jc w:val="both"/>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ind w:left="0" w:right="0" w:firstLine="360"/>
        <w:jc w:val="both"/>
      </w:pPr>
      <w:r>
        <w:rPr/>
        <w:t xml:space="preserve">(5)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ind w:left="0" w:right="0" w:firstLine="360"/>
        <w:jc w:val="both"/>
      </w:pPr>
      <w:r>
        <w:rPr/>
        <w:t xml:space="preserve">(6)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0bb5963c6f0b4c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3b5bed6b47442d" /><Relationship Type="http://schemas.openxmlformats.org/officeDocument/2006/relationships/footer" Target="/word/footer.xml" Id="R0bb5963c6f0b4cdd" /></Relationships>
</file>