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0ddb4393ea47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6134</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6134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Law &amp; Justice (originally sponsored by Senator Padden)</w:t>
      </w:r>
    </w:p>
    <w:p/>
    <w:p>
      <w:r>
        <w:rPr>
          <w:t xml:space="preserve">READ FIRST TIME 06/19/15.  </w:t>
        </w:rPr>
      </w:r>
    </w:p>
    <w:p>
      <w:r>
        <w:br/>
      </w:r>
    </w:p>
    <w:p>
      <w:r>
        <w:fldChar w:fldCharType="begin"/>
      </w:r>
      <w:r>
        <w:instrText xml:space="default"> ADVANCE \y328 </w:instrText>
      </w:r>
      <w:r>
        <w:fldChar w:fldCharType="end"/>
      </w:r>
    </w:p>
    <w:p>
      <w:pPr>
        <w:ind w:left="0" w:right="0" w:firstLine="360"/>
        <w:jc w:val="both"/>
      </w:pPr>
      <w:r>
        <w:rPr/>
        <w:t xml:space="preserve">AN ACT Relating to exempting pretrial electronic alcohol monitoring programs from statutory limitations on pretrial supervision costs; and amending RCW 10.01.160 and 46.61.50571.</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ind w:left="0" w:right="0" w:firstLine="360"/>
        <w:jc w:val="both"/>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ind w:left="0" w:right="0" w:firstLine="360"/>
        <w:jc w:val="both"/>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w:t>
      </w:r>
      <w:r>
        <w:rPr>
          <w:u w:val="single"/>
        </w:rPr>
        <w:t xml:space="preserve">other than a pretrial electronic alcohol monitoring program, drug monitoring program, or 24/7 sobriety program</w:t>
      </w:r>
      <w:r>
        <w:rPr/>
        <w:t xml:space="preserve">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ind w:left="0" w:right="0" w:firstLine="360"/>
        <w:jc w:val="both"/>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w:t>
      </w:r>
    </w:p>
    <w:p>
      <w:pPr>
        <w:ind w:left="0" w:right="0" w:firstLine="360"/>
        <w:jc w:val="both"/>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ind w:left="0" w:right="0" w:firstLine="360"/>
        <w:jc w:val="both"/>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2013 c 3 s 36 are each amended to read as follows:</w:t>
      </w:r>
    </w:p>
    <w:p>
      <w:pPr>
        <w:ind w:left="0" w:right="0" w:firstLine="360"/>
        <w:jc w:val="both"/>
      </w:pPr>
      <w:r>
        <w:rPr/>
        <w:t xml:space="preserve">(1)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ind w:left="0" w:right="0" w:firstLine="360"/>
        <w:jc w:val="both"/>
      </w:pPr>
      <w:r>
        <w:rPr/>
        <w:t xml:space="preserve">(2) A defendant who is charged with an offense involving driving while under the influence as defined in RCW 46.61.502, driving under age twenty-one after consuming alcohol or marijuana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ind w:left="0" w:right="0" w:firstLine="360"/>
        <w:jc w:val="both"/>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ind w:left="0" w:right="0" w:firstLine="360"/>
        <w:jc w:val="both"/>
      </w:pPr>
      <w:r>
        <w:rPr/>
        <w:t xml:space="preserve">(4) Appearances required by this section are mandatory and may not be waived.</w:t>
      </w:r>
    </w:p>
    <w:p>
      <w:pPr>
        <w:ind w:left="0" w:right="0" w:firstLine="360"/>
        <w:jc w:val="both"/>
      </w:pPr>
      <w:r>
        <w:rPr>
          <w:u w:val="single"/>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
      <w:pPr>
        <w:jc w:val="center"/>
      </w:pPr>
      <w:r>
        <w:rPr>
          <w:b/>
        </w:rPr>
        <w:t>--- END ---</w:t>
      </w:r>
    </w:p>
    <w:sectPr>
      <w:pgNumType w:start="1"/>
      <w:footerReference xmlns:r="http://schemas.openxmlformats.org/officeDocument/2006/relationships" r:id="Rc888a9edf31545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717be384c44ba" /><Relationship Type="http://schemas.openxmlformats.org/officeDocument/2006/relationships/footer" Target="/word/footer.xml" Id="Rc888a9edf31545e3" /></Relationships>
</file>